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6AF" w:rsidRDefault="00B10541" w:rsidP="00515DFD">
      <w:pPr>
        <w:ind w:left="-540" w:right="-483" w:firstLine="1260"/>
        <w:jc w:val="right"/>
        <w:rPr>
          <w:rFonts w:ascii="Arial" w:hAnsi="Arial" w:cs="Arial"/>
          <w:b/>
          <w:bCs/>
          <w:color w:val="365F91"/>
          <w:sz w:val="20"/>
          <w:szCs w:val="20"/>
        </w:rPr>
      </w:pPr>
      <w:r w:rsidRPr="00C24B4E">
        <w:rPr>
          <w:rFonts w:ascii="Arial" w:hAnsi="Arial" w:cs="Arial"/>
          <w:b/>
          <w:bCs/>
          <w:color w:val="365F91"/>
          <w:sz w:val="20"/>
          <w:szCs w:val="20"/>
        </w:rPr>
        <w:t xml:space="preserve">Ref: </w:t>
      </w:r>
      <w:r w:rsidR="009216AF">
        <w:rPr>
          <w:rFonts w:ascii="Arial" w:hAnsi="Arial" w:cs="Arial"/>
          <w:b/>
          <w:bCs/>
          <w:color w:val="365F91"/>
          <w:sz w:val="20"/>
          <w:szCs w:val="20"/>
        </w:rPr>
        <w:t>GJF/2017/03/07</w:t>
      </w:r>
    </w:p>
    <w:p w:rsidR="009216AF" w:rsidRDefault="009216AF" w:rsidP="00515DFD">
      <w:pPr>
        <w:ind w:left="-540" w:right="-483"/>
        <w:rPr>
          <w:rFonts w:ascii="Arial" w:hAnsi="Arial" w:cs="Arial"/>
          <w:b/>
          <w:bCs/>
          <w:color w:val="365F91"/>
          <w:sz w:val="20"/>
          <w:szCs w:val="20"/>
        </w:rPr>
      </w:pPr>
      <w:r>
        <w:rPr>
          <w:rFonts w:ascii="Arial" w:hAnsi="Arial" w:cs="Arial"/>
          <w:b/>
          <w:bCs/>
          <w:noProof/>
          <w:color w:val="365F91"/>
          <w:sz w:val="20"/>
          <w:szCs w:val="20"/>
          <w:lang w:eastAsia="en-GB"/>
        </w:rPr>
        <w:drawing>
          <wp:anchor distT="0" distB="0" distL="114300" distR="114300" simplePos="0" relativeHeight="251658240" behindDoc="0" locked="0" layoutInCell="1" allowOverlap="1">
            <wp:simplePos x="0" y="0"/>
            <wp:positionH relativeFrom="column">
              <wp:posOffset>4416425</wp:posOffset>
            </wp:positionH>
            <wp:positionV relativeFrom="paragraph">
              <wp:posOffset>58420</wp:posOffset>
            </wp:positionV>
            <wp:extent cx="1372870" cy="1391920"/>
            <wp:effectExtent l="19050" t="0" r="0" b="0"/>
            <wp:wrapSquare wrapText="bothSides"/>
            <wp:docPr id="3"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7"/>
                    <a:srcRect/>
                    <a:stretch>
                      <a:fillRect/>
                    </a:stretch>
                  </pic:blipFill>
                  <pic:spPr bwMode="auto">
                    <a:xfrm>
                      <a:off x="0" y="0"/>
                      <a:ext cx="1372870" cy="1391920"/>
                    </a:xfrm>
                    <a:prstGeom prst="rect">
                      <a:avLst/>
                    </a:prstGeom>
                    <a:noFill/>
                  </pic:spPr>
                </pic:pic>
              </a:graphicData>
            </a:graphic>
          </wp:anchor>
        </w:drawing>
      </w:r>
    </w:p>
    <w:p w:rsidR="009216AF" w:rsidRPr="00C24B4E" w:rsidRDefault="009216AF" w:rsidP="00515DFD">
      <w:pPr>
        <w:ind w:left="-540" w:right="-483"/>
        <w:rPr>
          <w:rFonts w:ascii="Arial" w:hAnsi="Arial" w:cs="Arial"/>
          <w:b/>
          <w:bCs/>
          <w:color w:val="365F91"/>
          <w:sz w:val="20"/>
          <w:szCs w:val="20"/>
        </w:rPr>
      </w:pPr>
    </w:p>
    <w:p w:rsidR="00B10541" w:rsidRPr="001175E5" w:rsidRDefault="00100767" w:rsidP="00515DFD">
      <w:pPr>
        <w:pStyle w:val="Heading1"/>
        <w:tabs>
          <w:tab w:val="left" w:pos="2694"/>
        </w:tabs>
        <w:ind w:right="183"/>
        <w:rPr>
          <w:rFonts w:ascii="Arial" w:hAnsi="Arial" w:cs="Arial"/>
          <w:b w:val="0"/>
          <w:sz w:val="24"/>
        </w:rPr>
      </w:pPr>
      <w:r>
        <w:rPr>
          <w:rFonts w:ascii="Arial" w:hAnsi="Arial" w:cs="Arial"/>
          <w:sz w:val="24"/>
        </w:rPr>
        <w:t>Board</w:t>
      </w:r>
      <w:r w:rsidR="00C76BB0">
        <w:rPr>
          <w:rFonts w:ascii="Arial" w:hAnsi="Arial" w:cs="Arial"/>
          <w:sz w:val="24"/>
        </w:rPr>
        <w:t xml:space="preserve"> Meeting</w:t>
      </w:r>
      <w:r w:rsidR="00243387">
        <w:rPr>
          <w:rFonts w:ascii="Arial" w:hAnsi="Arial" w:cs="Arial"/>
          <w:sz w:val="24"/>
        </w:rPr>
        <w:t>:</w:t>
      </w:r>
      <w:r w:rsidR="00C76BB0">
        <w:rPr>
          <w:rFonts w:ascii="Arial" w:hAnsi="Arial" w:cs="Arial"/>
          <w:sz w:val="24"/>
        </w:rPr>
        <w:tab/>
      </w:r>
      <w:r w:rsidRPr="00100767">
        <w:rPr>
          <w:rFonts w:ascii="Arial" w:hAnsi="Arial" w:cs="Arial"/>
          <w:b w:val="0"/>
          <w:sz w:val="24"/>
        </w:rPr>
        <w:t xml:space="preserve">30 </w:t>
      </w:r>
      <w:r w:rsidR="00C76BB0" w:rsidRPr="00100767">
        <w:rPr>
          <w:rFonts w:ascii="Arial" w:hAnsi="Arial" w:cs="Arial"/>
          <w:b w:val="0"/>
          <w:sz w:val="24"/>
        </w:rPr>
        <w:t>M</w:t>
      </w:r>
      <w:r w:rsidR="00C76BB0">
        <w:rPr>
          <w:rFonts w:ascii="Arial" w:hAnsi="Arial" w:cs="Arial"/>
          <w:b w:val="0"/>
          <w:sz w:val="24"/>
        </w:rPr>
        <w:t>arch</w:t>
      </w:r>
      <w:r w:rsidR="00B10541">
        <w:rPr>
          <w:rFonts w:ascii="Arial" w:hAnsi="Arial" w:cs="Arial"/>
          <w:b w:val="0"/>
          <w:sz w:val="24"/>
        </w:rPr>
        <w:t xml:space="preserve"> 2017</w:t>
      </w:r>
      <w:r w:rsidR="00B10541" w:rsidRPr="001175E5">
        <w:rPr>
          <w:rFonts w:ascii="Arial" w:hAnsi="Arial" w:cs="Arial"/>
          <w:b w:val="0"/>
          <w:sz w:val="24"/>
        </w:rPr>
        <w:tab/>
      </w:r>
      <w:r w:rsidR="00B10541">
        <w:rPr>
          <w:rFonts w:ascii="Arial" w:hAnsi="Arial" w:cs="Arial"/>
          <w:b w:val="0"/>
          <w:sz w:val="24"/>
        </w:rPr>
        <w:tab/>
      </w:r>
    </w:p>
    <w:p w:rsidR="00B10541" w:rsidRPr="00682309" w:rsidRDefault="00B10541" w:rsidP="00515DFD">
      <w:pPr>
        <w:ind w:right="183"/>
        <w:rPr>
          <w:rFonts w:ascii="Arial" w:hAnsi="Arial" w:cs="Arial"/>
        </w:rPr>
      </w:pPr>
    </w:p>
    <w:p w:rsidR="00B10541" w:rsidRPr="00682309" w:rsidRDefault="00B10541" w:rsidP="00515DFD">
      <w:pPr>
        <w:tabs>
          <w:tab w:val="left" w:pos="2694"/>
        </w:tabs>
        <w:ind w:left="2694" w:right="183" w:hanging="2694"/>
        <w:rPr>
          <w:rFonts w:ascii="Arial" w:hAnsi="Arial" w:cs="Arial"/>
        </w:rPr>
      </w:pPr>
      <w:r w:rsidRPr="00682309">
        <w:rPr>
          <w:rFonts w:ascii="Arial" w:hAnsi="Arial" w:cs="Arial"/>
          <w:b/>
          <w:bCs/>
        </w:rPr>
        <w:t xml:space="preserve">Subject: </w:t>
      </w:r>
      <w:r w:rsidRPr="00682309">
        <w:rPr>
          <w:rFonts w:ascii="Arial" w:hAnsi="Arial" w:cs="Arial"/>
          <w:b/>
          <w:bCs/>
        </w:rPr>
        <w:tab/>
      </w:r>
      <w:r w:rsidRPr="00037BDB">
        <w:rPr>
          <w:rFonts w:ascii="Arial" w:hAnsi="Arial" w:cs="Arial"/>
          <w:bCs/>
        </w:rPr>
        <w:t xml:space="preserve">Finance Report – </w:t>
      </w:r>
      <w:r w:rsidR="00C76BB0">
        <w:rPr>
          <w:rFonts w:ascii="Arial" w:hAnsi="Arial" w:cs="Arial"/>
          <w:bCs/>
        </w:rPr>
        <w:t>January</w:t>
      </w:r>
      <w:r>
        <w:rPr>
          <w:rFonts w:ascii="Arial" w:hAnsi="Arial" w:cs="Arial"/>
          <w:bCs/>
        </w:rPr>
        <w:t xml:space="preserve"> 201</w:t>
      </w:r>
      <w:r w:rsidR="00C76BB0">
        <w:rPr>
          <w:rFonts w:ascii="Arial" w:hAnsi="Arial" w:cs="Arial"/>
          <w:bCs/>
        </w:rPr>
        <w:t>7</w:t>
      </w:r>
    </w:p>
    <w:p w:rsidR="00B10541" w:rsidRPr="00682309" w:rsidRDefault="00B10541" w:rsidP="00515DFD">
      <w:pPr>
        <w:ind w:right="183"/>
        <w:rPr>
          <w:rFonts w:ascii="Arial" w:hAnsi="Arial" w:cs="Arial"/>
          <w:b/>
          <w:bCs/>
        </w:rPr>
      </w:pPr>
      <w:r w:rsidRPr="00682309">
        <w:rPr>
          <w:rFonts w:ascii="Arial" w:hAnsi="Arial" w:cs="Arial"/>
          <w:b/>
          <w:bCs/>
        </w:rPr>
        <w:tab/>
      </w:r>
    </w:p>
    <w:p w:rsidR="009216AF" w:rsidRDefault="00B10541" w:rsidP="00515DFD">
      <w:pPr>
        <w:tabs>
          <w:tab w:val="left" w:pos="2694"/>
        </w:tabs>
        <w:ind w:left="2694" w:right="183" w:hanging="2694"/>
        <w:rPr>
          <w:rFonts w:ascii="Arial" w:hAnsi="Arial" w:cs="Arial"/>
        </w:rPr>
      </w:pPr>
      <w:r w:rsidRPr="00682309">
        <w:rPr>
          <w:rFonts w:ascii="Arial" w:hAnsi="Arial" w:cs="Arial"/>
          <w:b/>
          <w:bCs/>
        </w:rPr>
        <w:t>Recommendation:</w:t>
      </w:r>
      <w:r w:rsidRPr="00682309">
        <w:rPr>
          <w:rFonts w:ascii="Arial" w:hAnsi="Arial" w:cs="Arial"/>
          <w:b/>
          <w:bCs/>
        </w:rPr>
        <w:tab/>
      </w:r>
      <w:r w:rsidRPr="00FB7212">
        <w:rPr>
          <w:rFonts w:ascii="Arial" w:hAnsi="Arial" w:cs="Arial"/>
        </w:rPr>
        <w:t xml:space="preserve">Members are asked to note this </w:t>
      </w:r>
      <w:r>
        <w:rPr>
          <w:rFonts w:ascii="Arial" w:hAnsi="Arial" w:cs="Arial"/>
        </w:rPr>
        <w:br/>
      </w:r>
      <w:r w:rsidRPr="00FB7212">
        <w:rPr>
          <w:rFonts w:ascii="Arial" w:hAnsi="Arial" w:cs="Arial"/>
        </w:rPr>
        <w:t>report</w:t>
      </w:r>
      <w:r>
        <w:rPr>
          <w:rFonts w:ascii="Arial" w:hAnsi="Arial" w:cs="Arial"/>
        </w:rPr>
        <w:t xml:space="preserve"> </w:t>
      </w:r>
      <w:r w:rsidRPr="00FB7212">
        <w:rPr>
          <w:rFonts w:ascii="Arial" w:hAnsi="Arial" w:cs="Arial"/>
        </w:rPr>
        <w:t xml:space="preserve">for the period to </w:t>
      </w:r>
      <w:r>
        <w:rPr>
          <w:rFonts w:ascii="Arial" w:hAnsi="Arial" w:cs="Arial"/>
        </w:rPr>
        <w:t>3</w:t>
      </w:r>
      <w:r w:rsidR="002209CB">
        <w:rPr>
          <w:rFonts w:ascii="Arial" w:hAnsi="Arial" w:cs="Arial"/>
        </w:rPr>
        <w:t>1</w:t>
      </w:r>
      <w:r>
        <w:rPr>
          <w:rFonts w:ascii="Arial" w:hAnsi="Arial" w:cs="Arial"/>
        </w:rPr>
        <w:t xml:space="preserve"> </w:t>
      </w:r>
      <w:r w:rsidR="00C76BB0">
        <w:rPr>
          <w:rFonts w:ascii="Arial" w:hAnsi="Arial" w:cs="Arial"/>
        </w:rPr>
        <w:t>January 2017</w:t>
      </w:r>
      <w:r>
        <w:rPr>
          <w:rFonts w:ascii="Arial" w:hAnsi="Arial" w:cs="Arial"/>
        </w:rPr>
        <w:t xml:space="preserve"> </w:t>
      </w:r>
    </w:p>
    <w:p w:rsidR="009216AF" w:rsidRDefault="009216AF" w:rsidP="00515DFD">
      <w:pPr>
        <w:tabs>
          <w:tab w:val="left" w:pos="3261"/>
        </w:tabs>
        <w:ind w:left="3255" w:right="183" w:hanging="3255"/>
        <w:rPr>
          <w:rFonts w:ascii="Arial" w:hAnsi="Arial" w:cs="Arial"/>
        </w:rPr>
      </w:pPr>
    </w:p>
    <w:p w:rsidR="009216AF" w:rsidRDefault="009216AF" w:rsidP="00515DFD">
      <w:pPr>
        <w:tabs>
          <w:tab w:val="left" w:pos="3261"/>
          <w:tab w:val="left" w:pos="8222"/>
        </w:tabs>
        <w:ind w:left="3255" w:right="-483" w:hanging="3255"/>
        <w:rPr>
          <w:rFonts w:ascii="Arial" w:hAnsi="Arial" w:cs="Arial"/>
        </w:rPr>
      </w:pPr>
      <w:r>
        <w:rPr>
          <w:rFonts w:ascii="Arial" w:hAnsi="Arial" w:cs="Arial"/>
        </w:rPr>
        <w:t>________________________________________________________________</w:t>
      </w:r>
    </w:p>
    <w:p w:rsidR="009216AF" w:rsidRDefault="009216AF" w:rsidP="00515DFD">
      <w:pPr>
        <w:tabs>
          <w:tab w:val="left" w:pos="3261"/>
        </w:tabs>
        <w:ind w:left="3255" w:right="183" w:hanging="3255"/>
        <w:rPr>
          <w:rFonts w:ascii="Arial" w:hAnsi="Arial" w:cs="Arial"/>
        </w:rPr>
      </w:pPr>
    </w:p>
    <w:p w:rsidR="00B10541" w:rsidRDefault="00B10541" w:rsidP="00515DFD">
      <w:pPr>
        <w:pStyle w:val="Heading4"/>
        <w:numPr>
          <w:ilvl w:val="0"/>
          <w:numId w:val="3"/>
        </w:numPr>
        <w:rPr>
          <w:rFonts w:ascii="Arial" w:hAnsi="Arial" w:cs="Arial"/>
        </w:rPr>
      </w:pPr>
      <w:r w:rsidRPr="00FB7212">
        <w:rPr>
          <w:rFonts w:ascii="Arial" w:hAnsi="Arial" w:cs="Arial"/>
        </w:rPr>
        <w:t>Introduction/Key Issues</w:t>
      </w:r>
    </w:p>
    <w:p w:rsidR="00B10541" w:rsidRDefault="00B10541" w:rsidP="00515DFD">
      <w:pPr>
        <w:pStyle w:val="BodyTextIndent2"/>
        <w:ind w:left="0"/>
        <w:jc w:val="left"/>
        <w:rPr>
          <w:rFonts w:ascii="Arial" w:hAnsi="Arial" w:cs="Arial"/>
        </w:rPr>
      </w:pPr>
    </w:p>
    <w:p w:rsidR="00B10541" w:rsidRDefault="00B10541" w:rsidP="00515DFD">
      <w:pPr>
        <w:pStyle w:val="BodyTextIndent2"/>
        <w:ind w:left="360"/>
        <w:jc w:val="left"/>
        <w:rPr>
          <w:rFonts w:ascii="Arial" w:hAnsi="Arial" w:cs="Arial"/>
        </w:rPr>
      </w:pPr>
      <w:r>
        <w:rPr>
          <w:rFonts w:ascii="Arial" w:hAnsi="Arial" w:cs="Arial"/>
        </w:rPr>
        <w:t>T</w:t>
      </w:r>
      <w:r w:rsidRPr="001D567C">
        <w:rPr>
          <w:rFonts w:ascii="Arial" w:hAnsi="Arial" w:cs="Arial"/>
        </w:rPr>
        <w:t>he year-to-date</w:t>
      </w:r>
      <w:r>
        <w:rPr>
          <w:rFonts w:ascii="Arial" w:hAnsi="Arial" w:cs="Arial"/>
        </w:rPr>
        <w:t xml:space="preserve"> (YTD)</w:t>
      </w:r>
      <w:r w:rsidRPr="001D567C">
        <w:rPr>
          <w:rFonts w:ascii="Arial" w:hAnsi="Arial" w:cs="Arial"/>
        </w:rPr>
        <w:t xml:space="preserve"> results show</w:t>
      </w:r>
      <w:r w:rsidR="00CC6EB2">
        <w:rPr>
          <w:rFonts w:ascii="Arial" w:hAnsi="Arial" w:cs="Arial"/>
        </w:rPr>
        <w:t>s</w:t>
      </w:r>
      <w:r w:rsidRPr="001D567C">
        <w:rPr>
          <w:rFonts w:ascii="Arial" w:hAnsi="Arial" w:cs="Arial"/>
        </w:rPr>
        <w:t xml:space="preserve"> a total </w:t>
      </w:r>
      <w:r>
        <w:rPr>
          <w:rFonts w:ascii="Arial" w:hAnsi="Arial" w:cs="Arial"/>
        </w:rPr>
        <w:t xml:space="preserve">deficit </w:t>
      </w:r>
      <w:r w:rsidRPr="001D567C">
        <w:rPr>
          <w:rFonts w:ascii="Arial" w:hAnsi="Arial" w:cs="Arial"/>
        </w:rPr>
        <w:t xml:space="preserve">of </w:t>
      </w:r>
      <w:r>
        <w:rPr>
          <w:rFonts w:ascii="Arial" w:hAnsi="Arial" w:cs="Arial"/>
        </w:rPr>
        <w:t>(</w:t>
      </w:r>
      <w:r w:rsidRPr="001D567C">
        <w:rPr>
          <w:rFonts w:ascii="Arial" w:hAnsi="Arial" w:cs="Arial"/>
        </w:rPr>
        <w:t>£</w:t>
      </w:r>
      <w:r w:rsidR="00A70DA0">
        <w:rPr>
          <w:rFonts w:ascii="Arial" w:hAnsi="Arial" w:cs="Arial"/>
        </w:rPr>
        <w:t>1</w:t>
      </w:r>
      <w:r w:rsidR="00616F1E">
        <w:rPr>
          <w:rFonts w:ascii="Arial" w:hAnsi="Arial" w:cs="Arial"/>
        </w:rPr>
        <w:t>87</w:t>
      </w:r>
      <w:r w:rsidR="00A70DA0">
        <w:rPr>
          <w:rFonts w:ascii="Arial" w:hAnsi="Arial" w:cs="Arial"/>
        </w:rPr>
        <w:t>k) with a deficit in non-</w:t>
      </w:r>
      <w:r>
        <w:rPr>
          <w:rFonts w:ascii="Arial" w:hAnsi="Arial" w:cs="Arial"/>
        </w:rPr>
        <w:t xml:space="preserve">core budget against a </w:t>
      </w:r>
      <w:r w:rsidR="00A70DA0">
        <w:rPr>
          <w:rFonts w:ascii="Arial" w:hAnsi="Arial" w:cs="Arial"/>
        </w:rPr>
        <w:t>breakeven</w:t>
      </w:r>
      <w:r>
        <w:rPr>
          <w:rFonts w:ascii="Arial" w:hAnsi="Arial" w:cs="Arial"/>
        </w:rPr>
        <w:t xml:space="preserve"> in core </w:t>
      </w:r>
      <w:r w:rsidR="00193F7B">
        <w:rPr>
          <w:rFonts w:ascii="Arial" w:hAnsi="Arial" w:cs="Arial"/>
        </w:rPr>
        <w:t>expenditure</w:t>
      </w:r>
      <w:r w:rsidR="00193F7B" w:rsidRPr="001D567C">
        <w:rPr>
          <w:rFonts w:ascii="Arial" w:hAnsi="Arial" w:cs="Arial"/>
        </w:rPr>
        <w:t>;</w:t>
      </w:r>
      <w:r w:rsidRPr="001D567C">
        <w:rPr>
          <w:rFonts w:ascii="Arial" w:hAnsi="Arial" w:cs="Arial"/>
        </w:rPr>
        <w:t xml:space="preserve"> </w:t>
      </w:r>
      <w:r>
        <w:rPr>
          <w:rFonts w:ascii="Arial" w:hAnsi="Arial" w:cs="Arial"/>
        </w:rPr>
        <w:t>this is broadly in line with the forecast in the finance plan for this period.</w:t>
      </w:r>
      <w:r w:rsidR="00CC6EB2">
        <w:rPr>
          <w:rFonts w:ascii="Arial" w:hAnsi="Arial" w:cs="Arial"/>
        </w:rPr>
        <w:t xml:space="preserve"> The non core position will be realigned at year end in line Scottish Government processes.</w:t>
      </w:r>
    </w:p>
    <w:p w:rsidR="00B10541" w:rsidRDefault="00B10541" w:rsidP="00515DFD">
      <w:pPr>
        <w:pStyle w:val="BodyTextIndent2"/>
        <w:ind w:left="360"/>
        <w:jc w:val="left"/>
        <w:rPr>
          <w:rFonts w:ascii="Arial" w:hAnsi="Arial" w:cs="Arial"/>
        </w:rPr>
      </w:pPr>
    </w:p>
    <w:p w:rsidR="00B10541" w:rsidRDefault="00B10541" w:rsidP="00515DFD">
      <w:pPr>
        <w:pStyle w:val="BodyTextIndent2"/>
        <w:ind w:left="360"/>
        <w:jc w:val="left"/>
        <w:rPr>
          <w:rFonts w:ascii="Arial" w:hAnsi="Arial" w:cs="Arial"/>
        </w:rPr>
      </w:pPr>
      <w:r>
        <w:rPr>
          <w:rFonts w:ascii="Arial" w:hAnsi="Arial" w:cs="Arial"/>
        </w:rPr>
        <w:t>This deficit  is made of the following:</w:t>
      </w:r>
    </w:p>
    <w:p w:rsidR="00B10541" w:rsidRDefault="00B10541" w:rsidP="00515DFD">
      <w:pPr>
        <w:pStyle w:val="BodyTextIndent2"/>
        <w:ind w:left="360"/>
        <w:jc w:val="left"/>
        <w:rPr>
          <w:rFonts w:ascii="Arial" w:hAnsi="Arial" w:cs="Arial"/>
        </w:rPr>
      </w:pPr>
    </w:p>
    <w:p w:rsidR="00B10541" w:rsidRDefault="00B10541" w:rsidP="00515DFD">
      <w:pPr>
        <w:pStyle w:val="BodyTextIndent2"/>
        <w:numPr>
          <w:ilvl w:val="0"/>
          <w:numId w:val="4"/>
        </w:numPr>
        <w:jc w:val="left"/>
        <w:rPr>
          <w:rFonts w:ascii="Arial" w:hAnsi="Arial" w:cs="Arial"/>
        </w:rPr>
      </w:pPr>
      <w:r w:rsidRPr="009133BE">
        <w:rPr>
          <w:rFonts w:ascii="Arial" w:hAnsi="Arial" w:cs="Arial"/>
        </w:rPr>
        <w:t xml:space="preserve">Core Position – </w:t>
      </w:r>
      <w:r w:rsidR="00A70DA0">
        <w:rPr>
          <w:rFonts w:ascii="Arial" w:hAnsi="Arial" w:cs="Arial"/>
        </w:rPr>
        <w:t>breakeven</w:t>
      </w:r>
      <w:r w:rsidRPr="009133BE">
        <w:rPr>
          <w:rFonts w:ascii="Arial" w:hAnsi="Arial" w:cs="Arial"/>
        </w:rPr>
        <w:t xml:space="preserve"> YTD; </w:t>
      </w:r>
    </w:p>
    <w:p w:rsidR="00B10541" w:rsidRPr="009133BE" w:rsidRDefault="00B10541" w:rsidP="00515DFD">
      <w:pPr>
        <w:pStyle w:val="BodyTextIndent2"/>
        <w:numPr>
          <w:ilvl w:val="0"/>
          <w:numId w:val="4"/>
        </w:numPr>
        <w:jc w:val="left"/>
        <w:rPr>
          <w:rFonts w:ascii="Arial" w:hAnsi="Arial" w:cs="Arial"/>
        </w:rPr>
      </w:pPr>
      <w:r w:rsidRPr="009133BE">
        <w:rPr>
          <w:rFonts w:ascii="Arial" w:hAnsi="Arial" w:cs="Arial"/>
        </w:rPr>
        <w:t xml:space="preserve">Non-core Position – </w:t>
      </w:r>
      <w:r>
        <w:rPr>
          <w:rFonts w:ascii="Arial" w:hAnsi="Arial" w:cs="Arial"/>
        </w:rPr>
        <w:t>over</w:t>
      </w:r>
      <w:r w:rsidRPr="009133BE">
        <w:rPr>
          <w:rFonts w:ascii="Arial" w:hAnsi="Arial" w:cs="Arial"/>
        </w:rPr>
        <w:t xml:space="preserve">spend of </w:t>
      </w:r>
      <w:r>
        <w:rPr>
          <w:rFonts w:ascii="Arial" w:hAnsi="Arial" w:cs="Arial"/>
        </w:rPr>
        <w:t>(</w:t>
      </w:r>
      <w:r w:rsidRPr="009133BE">
        <w:rPr>
          <w:rFonts w:ascii="Arial" w:hAnsi="Arial" w:cs="Arial"/>
        </w:rPr>
        <w:t>£</w:t>
      </w:r>
      <w:r w:rsidR="00A70DA0">
        <w:rPr>
          <w:rFonts w:ascii="Arial" w:hAnsi="Arial" w:cs="Arial"/>
        </w:rPr>
        <w:t>1</w:t>
      </w:r>
      <w:r w:rsidR="00616F1E">
        <w:rPr>
          <w:rFonts w:ascii="Arial" w:hAnsi="Arial" w:cs="Arial"/>
        </w:rPr>
        <w:t>87</w:t>
      </w:r>
      <w:r>
        <w:rPr>
          <w:rFonts w:ascii="Arial" w:hAnsi="Arial" w:cs="Arial"/>
        </w:rPr>
        <w:t>k) YTD; and</w:t>
      </w:r>
    </w:p>
    <w:p w:rsidR="00B10541" w:rsidRDefault="00B10541" w:rsidP="00515DFD">
      <w:pPr>
        <w:pStyle w:val="BodyTextIndent2"/>
        <w:numPr>
          <w:ilvl w:val="0"/>
          <w:numId w:val="4"/>
        </w:numPr>
        <w:jc w:val="left"/>
        <w:rPr>
          <w:rFonts w:ascii="Arial" w:hAnsi="Arial" w:cs="Arial"/>
        </w:rPr>
      </w:pPr>
      <w:r>
        <w:rPr>
          <w:rFonts w:ascii="Arial" w:hAnsi="Arial" w:cs="Arial"/>
        </w:rPr>
        <w:t>Total Position – overspend of (£</w:t>
      </w:r>
      <w:r w:rsidR="00A70DA0">
        <w:rPr>
          <w:rFonts w:ascii="Arial" w:hAnsi="Arial" w:cs="Arial"/>
        </w:rPr>
        <w:t>1</w:t>
      </w:r>
      <w:r w:rsidR="00E87CF4">
        <w:rPr>
          <w:rFonts w:ascii="Arial" w:hAnsi="Arial" w:cs="Arial"/>
        </w:rPr>
        <w:t>87</w:t>
      </w:r>
      <w:r>
        <w:rPr>
          <w:rFonts w:ascii="Arial" w:hAnsi="Arial" w:cs="Arial"/>
        </w:rPr>
        <w:t>k) YTD.</w:t>
      </w:r>
    </w:p>
    <w:p w:rsidR="00B10541" w:rsidRDefault="00B10541" w:rsidP="00515DFD">
      <w:pPr>
        <w:pStyle w:val="BodyTextIndent2"/>
        <w:ind w:left="0"/>
        <w:jc w:val="left"/>
        <w:rPr>
          <w:rFonts w:ascii="Arial" w:hAnsi="Arial" w:cs="Arial"/>
        </w:rPr>
      </w:pPr>
    </w:p>
    <w:p w:rsidR="00B10541" w:rsidRDefault="00B10541" w:rsidP="00515DFD">
      <w:pPr>
        <w:pStyle w:val="BodyTextIndent2"/>
        <w:ind w:left="360"/>
        <w:jc w:val="left"/>
        <w:rPr>
          <w:rFonts w:ascii="Arial" w:hAnsi="Arial" w:cs="Arial"/>
        </w:rPr>
      </w:pPr>
      <w:r>
        <w:rPr>
          <w:rFonts w:ascii="Arial" w:hAnsi="Arial" w:cs="Arial"/>
        </w:rPr>
        <w:t xml:space="preserve">The income and expenditure reports are included at appendix one. The format of the report has been amended slightly to show the total core position and total non-core separately.  </w:t>
      </w:r>
    </w:p>
    <w:p w:rsidR="00B10541" w:rsidRDefault="00B10541" w:rsidP="00515DFD">
      <w:pPr>
        <w:pStyle w:val="BodyTextIndent2"/>
        <w:ind w:left="360"/>
        <w:jc w:val="left"/>
        <w:rPr>
          <w:rFonts w:ascii="Arial" w:hAnsi="Arial" w:cs="Arial"/>
        </w:rPr>
      </w:pPr>
    </w:p>
    <w:p w:rsidR="00B10541" w:rsidRDefault="00B10541" w:rsidP="00515DFD">
      <w:pPr>
        <w:pStyle w:val="BodyTextIndent2"/>
        <w:ind w:left="360"/>
        <w:jc w:val="left"/>
        <w:rPr>
          <w:rFonts w:ascii="Arial" w:hAnsi="Arial" w:cs="Arial"/>
        </w:rPr>
      </w:pPr>
      <w:r>
        <w:rPr>
          <w:rFonts w:ascii="Arial" w:hAnsi="Arial" w:cs="Arial"/>
        </w:rPr>
        <w:t>The full detailed analysis of variances is discussed in this report.</w:t>
      </w:r>
    </w:p>
    <w:p w:rsidR="00F15907" w:rsidRPr="001D567C" w:rsidRDefault="00F15907" w:rsidP="00515DFD">
      <w:pPr>
        <w:pStyle w:val="BodyTextIndent2"/>
        <w:ind w:left="0"/>
        <w:jc w:val="left"/>
        <w:rPr>
          <w:rFonts w:ascii="Arial" w:hAnsi="Arial" w:cs="Arial"/>
        </w:rPr>
      </w:pPr>
    </w:p>
    <w:p w:rsidR="00932C0F" w:rsidRDefault="00B10541" w:rsidP="00515DFD">
      <w:pPr>
        <w:pStyle w:val="BodyTextIndent2"/>
        <w:ind w:left="360"/>
        <w:jc w:val="left"/>
        <w:rPr>
          <w:rFonts w:ascii="Arial" w:hAnsi="Arial" w:cs="Arial"/>
        </w:rPr>
      </w:pPr>
      <w:r w:rsidRPr="002D1884">
        <w:rPr>
          <w:rFonts w:ascii="Arial" w:hAnsi="Arial" w:cs="Arial"/>
        </w:rPr>
        <w:t xml:space="preserve">At this stage it is </w:t>
      </w:r>
      <w:r w:rsidR="00616F1E">
        <w:rPr>
          <w:rFonts w:ascii="Arial" w:hAnsi="Arial" w:cs="Arial"/>
        </w:rPr>
        <w:t xml:space="preserve">still </w:t>
      </w:r>
      <w:r>
        <w:rPr>
          <w:rFonts w:ascii="Arial" w:hAnsi="Arial" w:cs="Arial"/>
        </w:rPr>
        <w:t>anticipated</w:t>
      </w:r>
      <w:r w:rsidRPr="002D1884">
        <w:rPr>
          <w:rFonts w:ascii="Arial" w:hAnsi="Arial" w:cs="Arial"/>
        </w:rPr>
        <w:t xml:space="preserve"> that the Board will achieve </w:t>
      </w:r>
      <w:r>
        <w:rPr>
          <w:rFonts w:ascii="Arial" w:hAnsi="Arial" w:cs="Arial"/>
        </w:rPr>
        <w:t>break-even by year-end with the deficit a</w:t>
      </w:r>
      <w:r w:rsidR="003823EC">
        <w:rPr>
          <w:rFonts w:ascii="Arial" w:hAnsi="Arial" w:cs="Arial"/>
        </w:rPr>
        <w:t xml:space="preserve">gainst non-core funding due to </w:t>
      </w:r>
      <w:r>
        <w:rPr>
          <w:rFonts w:ascii="Arial" w:hAnsi="Arial" w:cs="Arial"/>
        </w:rPr>
        <w:t xml:space="preserve">a shift in </w:t>
      </w:r>
      <w:r w:rsidR="00932C0F">
        <w:rPr>
          <w:rFonts w:ascii="Arial" w:hAnsi="Arial" w:cs="Arial"/>
        </w:rPr>
        <w:t>provisions that</w:t>
      </w:r>
      <w:r>
        <w:rPr>
          <w:rFonts w:ascii="Arial" w:hAnsi="Arial" w:cs="Arial"/>
        </w:rPr>
        <w:t xml:space="preserve"> will be managed by year-end</w:t>
      </w:r>
      <w:r w:rsidR="00616F1E">
        <w:rPr>
          <w:rFonts w:ascii="Arial" w:hAnsi="Arial" w:cs="Arial"/>
        </w:rPr>
        <w:t xml:space="preserve">.  </w:t>
      </w:r>
    </w:p>
    <w:p w:rsidR="00932C0F" w:rsidRDefault="00932C0F" w:rsidP="00515DFD">
      <w:pPr>
        <w:pStyle w:val="BodyTextIndent2"/>
        <w:ind w:left="360"/>
        <w:jc w:val="left"/>
        <w:rPr>
          <w:rFonts w:ascii="Arial" w:hAnsi="Arial" w:cs="Arial"/>
        </w:rPr>
      </w:pPr>
    </w:p>
    <w:p w:rsidR="00B10541" w:rsidRDefault="00616F1E" w:rsidP="00515DFD">
      <w:pPr>
        <w:pStyle w:val="BodyTextIndent2"/>
        <w:ind w:left="360"/>
        <w:jc w:val="left"/>
        <w:rPr>
          <w:rFonts w:ascii="Arial" w:hAnsi="Arial" w:cs="Arial"/>
        </w:rPr>
      </w:pPr>
      <w:r>
        <w:rPr>
          <w:rFonts w:ascii="Arial" w:hAnsi="Arial" w:cs="Arial"/>
        </w:rPr>
        <w:t>A review is being undertaken as depreciation spend is currently above forecast</w:t>
      </w:r>
      <w:r w:rsidR="009216AF">
        <w:rPr>
          <w:rFonts w:ascii="Arial" w:hAnsi="Arial" w:cs="Arial"/>
        </w:rPr>
        <w:t>. W</w:t>
      </w:r>
      <w:r>
        <w:rPr>
          <w:rFonts w:ascii="Arial" w:hAnsi="Arial" w:cs="Arial"/>
        </w:rPr>
        <w:t>ith th</w:t>
      </w:r>
      <w:r w:rsidR="00A36637">
        <w:rPr>
          <w:rFonts w:ascii="Arial" w:hAnsi="Arial" w:cs="Arial"/>
        </w:rPr>
        <w:t xml:space="preserve">is </w:t>
      </w:r>
      <w:r>
        <w:rPr>
          <w:rFonts w:ascii="Arial" w:hAnsi="Arial" w:cs="Arial"/>
        </w:rPr>
        <w:t>relating to the timing of items coming into operational use</w:t>
      </w:r>
      <w:r w:rsidR="00A36637">
        <w:rPr>
          <w:rFonts w:ascii="Arial" w:hAnsi="Arial" w:cs="Arial"/>
        </w:rPr>
        <w:t xml:space="preserve">, we will therefore require to request a further move of </w:t>
      </w:r>
      <w:r w:rsidR="00932C0F">
        <w:rPr>
          <w:rFonts w:ascii="Arial" w:hAnsi="Arial" w:cs="Arial"/>
        </w:rPr>
        <w:t>depreciation</w:t>
      </w:r>
      <w:r w:rsidR="00A36637">
        <w:rPr>
          <w:rFonts w:ascii="Arial" w:hAnsi="Arial" w:cs="Arial"/>
        </w:rPr>
        <w:t xml:space="preserve"> funding from core to non-core</w:t>
      </w:r>
      <w:r w:rsidR="009216AF">
        <w:rPr>
          <w:rFonts w:ascii="Arial" w:hAnsi="Arial" w:cs="Arial"/>
        </w:rPr>
        <w:t>;</w:t>
      </w:r>
      <w:r w:rsidR="00A36637">
        <w:rPr>
          <w:rFonts w:ascii="Arial" w:hAnsi="Arial" w:cs="Arial"/>
        </w:rPr>
        <w:t xml:space="preserve"> it is anticipated that this will be requested in the month </w:t>
      </w:r>
      <w:r w:rsidR="009216AF">
        <w:rPr>
          <w:rFonts w:ascii="Arial" w:hAnsi="Arial" w:cs="Arial"/>
        </w:rPr>
        <w:t>11</w:t>
      </w:r>
      <w:r w:rsidR="00A36637">
        <w:rPr>
          <w:rFonts w:ascii="Arial" w:hAnsi="Arial" w:cs="Arial"/>
        </w:rPr>
        <w:t xml:space="preserve"> return</w:t>
      </w:r>
      <w:r w:rsidR="00CC6EB2">
        <w:rPr>
          <w:rFonts w:ascii="Arial" w:hAnsi="Arial" w:cs="Arial"/>
        </w:rPr>
        <w:t xml:space="preserve"> and has been assumed within the year end forecast</w:t>
      </w:r>
      <w:r w:rsidR="00A36637">
        <w:rPr>
          <w:rFonts w:ascii="Arial" w:hAnsi="Arial" w:cs="Arial"/>
        </w:rPr>
        <w:t>.</w:t>
      </w:r>
    </w:p>
    <w:p w:rsidR="0089603E" w:rsidRDefault="0089603E" w:rsidP="00515DFD"/>
    <w:p w:rsidR="00515DFD" w:rsidRDefault="00515DFD" w:rsidP="00515DFD"/>
    <w:p w:rsidR="00D313A8" w:rsidRDefault="00D313A8" w:rsidP="00515DFD">
      <w:pPr>
        <w:pStyle w:val="Heading4"/>
        <w:numPr>
          <w:ilvl w:val="0"/>
          <w:numId w:val="3"/>
        </w:numPr>
        <w:rPr>
          <w:rFonts w:ascii="Arial" w:hAnsi="Arial" w:cs="Arial"/>
        </w:rPr>
      </w:pPr>
      <w:r w:rsidRPr="00D313A8">
        <w:rPr>
          <w:rFonts w:ascii="Arial" w:hAnsi="Arial" w:cs="Arial"/>
        </w:rPr>
        <w:t xml:space="preserve">Financial Plan Interim Submission 2017/18 </w:t>
      </w:r>
    </w:p>
    <w:p w:rsidR="00D313A8" w:rsidRPr="00D313A8" w:rsidRDefault="00D313A8" w:rsidP="00515DFD"/>
    <w:p w:rsidR="00D313A8" w:rsidRDefault="002D18F7" w:rsidP="00515DFD">
      <w:pPr>
        <w:pStyle w:val="BodyTextIndent2"/>
        <w:ind w:left="360"/>
        <w:jc w:val="left"/>
        <w:rPr>
          <w:rFonts w:ascii="Arial" w:hAnsi="Arial" w:cs="Arial"/>
        </w:rPr>
      </w:pPr>
      <w:r w:rsidRPr="002D18F7">
        <w:rPr>
          <w:rFonts w:ascii="Arial" w:hAnsi="Arial" w:cs="Arial"/>
        </w:rPr>
        <w:t xml:space="preserve">The fully detailed three year financial plan with supporting narrative will be completed for the deadline of 31 March with appropriate Board and Senior </w:t>
      </w:r>
      <w:r w:rsidRPr="002D18F7">
        <w:rPr>
          <w:rFonts w:ascii="Arial" w:hAnsi="Arial" w:cs="Arial"/>
        </w:rPr>
        <w:lastRenderedPageBreak/>
        <w:t>Management Team approval. In the interim</w:t>
      </w:r>
      <w:r w:rsidR="009216AF">
        <w:rPr>
          <w:rFonts w:ascii="Arial" w:hAnsi="Arial" w:cs="Arial"/>
        </w:rPr>
        <w:t>, the</w:t>
      </w:r>
      <w:r w:rsidRPr="002D18F7">
        <w:rPr>
          <w:rFonts w:ascii="Arial" w:hAnsi="Arial" w:cs="Arial"/>
        </w:rPr>
        <w:t xml:space="preserve"> Scottish Government have requested an update on the 2017</w:t>
      </w:r>
      <w:r w:rsidR="009216AF">
        <w:rPr>
          <w:rFonts w:ascii="Arial" w:hAnsi="Arial" w:cs="Arial"/>
        </w:rPr>
        <w:t>/</w:t>
      </w:r>
      <w:r w:rsidRPr="002D18F7">
        <w:rPr>
          <w:rFonts w:ascii="Arial" w:hAnsi="Arial" w:cs="Arial"/>
        </w:rPr>
        <w:t xml:space="preserve">18 forecast position by 28 February with the Scottish Government templates. </w:t>
      </w:r>
    </w:p>
    <w:p w:rsidR="009216AF" w:rsidRPr="0089410E" w:rsidRDefault="009216AF" w:rsidP="00515DFD">
      <w:pPr>
        <w:pStyle w:val="BodyTextIndent2"/>
        <w:ind w:left="360"/>
        <w:jc w:val="left"/>
        <w:rPr>
          <w:rFonts w:ascii="Arial" w:hAnsi="Arial" w:cs="Arial"/>
        </w:rPr>
      </w:pPr>
    </w:p>
    <w:p w:rsidR="00EC2235" w:rsidRDefault="002D18F7" w:rsidP="00515DFD">
      <w:pPr>
        <w:pStyle w:val="BodyTextIndent2"/>
        <w:ind w:left="360"/>
        <w:jc w:val="left"/>
        <w:rPr>
          <w:rFonts w:ascii="Arial" w:hAnsi="Arial" w:cs="Arial"/>
        </w:rPr>
      </w:pPr>
      <w:r w:rsidRPr="002D18F7">
        <w:rPr>
          <w:rFonts w:ascii="Arial" w:hAnsi="Arial" w:cs="Arial"/>
        </w:rPr>
        <w:t>A detailed paper is included on the age</w:t>
      </w:r>
      <w:r w:rsidR="009216AF">
        <w:rPr>
          <w:rFonts w:ascii="Arial" w:hAnsi="Arial" w:cs="Arial"/>
        </w:rPr>
        <w:t>nda relating the financial plan w</w:t>
      </w:r>
      <w:r w:rsidR="00CC6EB2">
        <w:rPr>
          <w:rFonts w:ascii="Arial" w:hAnsi="Arial" w:cs="Arial"/>
        </w:rPr>
        <w:t>ith the key messages being:</w:t>
      </w:r>
    </w:p>
    <w:p w:rsidR="00CC6EB2" w:rsidRDefault="00CC6EB2" w:rsidP="00515DFD">
      <w:pPr>
        <w:pStyle w:val="BodyTextIndent2"/>
        <w:ind w:left="360"/>
        <w:jc w:val="left"/>
        <w:rPr>
          <w:rFonts w:ascii="Arial" w:hAnsi="Arial" w:cs="Arial"/>
        </w:rPr>
      </w:pPr>
    </w:p>
    <w:p w:rsidR="007B512F" w:rsidRPr="009216AF" w:rsidRDefault="002D18F7" w:rsidP="00515DFD">
      <w:pPr>
        <w:pStyle w:val="ListParagraph"/>
        <w:numPr>
          <w:ilvl w:val="0"/>
          <w:numId w:val="43"/>
        </w:numPr>
        <w:spacing w:after="0" w:line="240" w:lineRule="auto"/>
        <w:rPr>
          <w:rFonts w:ascii="Arial" w:hAnsi="Arial" w:cs="Arial"/>
          <w:sz w:val="24"/>
          <w:szCs w:val="24"/>
        </w:rPr>
      </w:pPr>
      <w:r w:rsidRPr="009216AF">
        <w:rPr>
          <w:rFonts w:ascii="Arial" w:hAnsi="Arial" w:cs="Arial"/>
          <w:sz w:val="24"/>
          <w:szCs w:val="24"/>
        </w:rPr>
        <w:t>The Board is forecasting a balanced plan for 2017/18</w:t>
      </w:r>
    </w:p>
    <w:p w:rsidR="007B512F" w:rsidRPr="009216AF" w:rsidRDefault="002D18F7" w:rsidP="00515DFD">
      <w:pPr>
        <w:pStyle w:val="ListParagraph"/>
        <w:numPr>
          <w:ilvl w:val="0"/>
          <w:numId w:val="43"/>
        </w:numPr>
        <w:spacing w:after="0" w:line="240" w:lineRule="auto"/>
        <w:rPr>
          <w:rFonts w:ascii="Arial" w:hAnsi="Arial" w:cs="Arial"/>
          <w:sz w:val="24"/>
          <w:szCs w:val="24"/>
        </w:rPr>
      </w:pPr>
      <w:r w:rsidRPr="009216AF">
        <w:rPr>
          <w:rFonts w:ascii="Arial" w:hAnsi="Arial" w:cs="Arial"/>
          <w:sz w:val="24"/>
          <w:szCs w:val="24"/>
        </w:rPr>
        <w:t>Efficiency plans are being developed with £4.1m out of a total of £5m at this point being identified. Specific plans are in place to deliver this gap albeit a number are high risk</w:t>
      </w:r>
    </w:p>
    <w:p w:rsidR="007B512F" w:rsidRPr="009216AF" w:rsidRDefault="002D18F7" w:rsidP="00515DFD">
      <w:pPr>
        <w:pStyle w:val="ListParagraph"/>
        <w:numPr>
          <w:ilvl w:val="0"/>
          <w:numId w:val="43"/>
        </w:numPr>
        <w:spacing w:after="0" w:line="240" w:lineRule="auto"/>
        <w:rPr>
          <w:rFonts w:ascii="Arial" w:hAnsi="Arial" w:cs="Arial"/>
          <w:sz w:val="24"/>
          <w:szCs w:val="24"/>
        </w:rPr>
      </w:pPr>
      <w:r w:rsidRPr="009216AF">
        <w:rPr>
          <w:rFonts w:ascii="Arial" w:hAnsi="Arial" w:cs="Arial"/>
          <w:sz w:val="24"/>
          <w:szCs w:val="24"/>
        </w:rPr>
        <w:t>Share of the £15m of the National Boards contribution is progressing and the National Boards aim to have detailed actions in place for the March submission</w:t>
      </w:r>
    </w:p>
    <w:p w:rsidR="007B512F" w:rsidRPr="009216AF" w:rsidRDefault="002D18F7" w:rsidP="00515DFD">
      <w:pPr>
        <w:pStyle w:val="ListParagraph"/>
        <w:numPr>
          <w:ilvl w:val="0"/>
          <w:numId w:val="43"/>
        </w:numPr>
        <w:spacing w:after="0" w:line="240" w:lineRule="auto"/>
        <w:rPr>
          <w:rFonts w:ascii="Arial" w:hAnsi="Arial" w:cs="Arial"/>
          <w:sz w:val="24"/>
          <w:szCs w:val="24"/>
        </w:rPr>
      </w:pPr>
      <w:r w:rsidRPr="009216AF">
        <w:rPr>
          <w:rFonts w:ascii="Arial" w:hAnsi="Arial" w:cs="Arial"/>
          <w:sz w:val="24"/>
          <w:szCs w:val="24"/>
        </w:rPr>
        <w:t>Focus of the plan in addition to the business as usual work is to ensure redesign is in place to support the additional capacity for the Golden Jubilee expansion and the elective treatment centres. The capital and revenue assumptions for 2017/18 have been included in the plan with further detail provided in the March submission.</w:t>
      </w:r>
    </w:p>
    <w:p w:rsidR="00D313A8" w:rsidRDefault="00D313A8" w:rsidP="00515DFD">
      <w:pPr>
        <w:pStyle w:val="BodyTextIndent2"/>
        <w:ind w:left="360"/>
        <w:jc w:val="left"/>
        <w:rPr>
          <w:rFonts w:ascii="Arial" w:hAnsi="Arial" w:cs="Arial"/>
        </w:rPr>
      </w:pPr>
    </w:p>
    <w:p w:rsidR="00515DFD" w:rsidRPr="009216AF" w:rsidRDefault="00515DFD" w:rsidP="00515DFD">
      <w:pPr>
        <w:pStyle w:val="BodyTextIndent2"/>
        <w:ind w:left="360"/>
        <w:jc w:val="left"/>
        <w:rPr>
          <w:rFonts w:ascii="Arial" w:hAnsi="Arial" w:cs="Arial"/>
        </w:rPr>
      </w:pPr>
    </w:p>
    <w:p w:rsidR="00D671F8" w:rsidRPr="00170765" w:rsidRDefault="00D671F8" w:rsidP="00515DFD">
      <w:pPr>
        <w:pStyle w:val="Heading4"/>
        <w:numPr>
          <w:ilvl w:val="0"/>
          <w:numId w:val="3"/>
        </w:numPr>
        <w:rPr>
          <w:rFonts w:ascii="Arial" w:hAnsi="Arial" w:cs="Arial"/>
        </w:rPr>
      </w:pPr>
      <w:r w:rsidRPr="00170765">
        <w:rPr>
          <w:rFonts w:ascii="Arial" w:hAnsi="Arial" w:cs="Arial"/>
        </w:rPr>
        <w:t>Year-end</w:t>
      </w:r>
      <w:r>
        <w:rPr>
          <w:rFonts w:ascii="Arial" w:hAnsi="Arial" w:cs="Arial"/>
        </w:rPr>
        <w:t xml:space="preserve"> Processing</w:t>
      </w:r>
    </w:p>
    <w:p w:rsidR="00D671F8" w:rsidRDefault="00D671F8" w:rsidP="00515DFD">
      <w:pPr>
        <w:ind w:left="360"/>
        <w:rPr>
          <w:rFonts w:ascii="Arial" w:hAnsi="Arial" w:cs="Arial"/>
        </w:rPr>
      </w:pPr>
    </w:p>
    <w:p w:rsidR="00D671F8" w:rsidRDefault="00D671F8" w:rsidP="00515DFD">
      <w:pPr>
        <w:ind w:left="360"/>
        <w:rPr>
          <w:rFonts w:ascii="Arial" w:hAnsi="Arial" w:cs="Arial"/>
        </w:rPr>
      </w:pPr>
      <w:r>
        <w:rPr>
          <w:rFonts w:ascii="Arial" w:hAnsi="Arial" w:cs="Arial"/>
        </w:rPr>
        <w:t>As in prior years we have issued deadlines for processing goods and invoices for year-end, these have been summarised below:</w:t>
      </w:r>
    </w:p>
    <w:p w:rsidR="00D671F8" w:rsidRDefault="00D671F8" w:rsidP="00515DFD">
      <w:pPr>
        <w:ind w:left="360"/>
        <w:rPr>
          <w:rFonts w:ascii="Arial" w:hAnsi="Arial" w:cs="Arial"/>
        </w:rPr>
      </w:pPr>
    </w:p>
    <w:p w:rsidR="00D671F8" w:rsidRPr="004A1042" w:rsidRDefault="00D671F8" w:rsidP="00515DFD">
      <w:pPr>
        <w:ind w:left="360"/>
        <w:rPr>
          <w:rFonts w:ascii="Arial" w:hAnsi="Arial" w:cs="Arial"/>
        </w:rPr>
      </w:pPr>
      <w:r w:rsidRPr="004A1042">
        <w:rPr>
          <w:rFonts w:ascii="Arial" w:hAnsi="Arial" w:cs="Arial"/>
          <w:b/>
          <w:bCs/>
        </w:rPr>
        <w:t>Invoices</w:t>
      </w:r>
      <w:r w:rsidRPr="004A1042">
        <w:rPr>
          <w:rFonts w:ascii="Arial" w:hAnsi="Arial" w:cs="Arial"/>
        </w:rPr>
        <w:t xml:space="preserve"> –</w:t>
      </w:r>
      <w:r>
        <w:rPr>
          <w:rFonts w:ascii="Arial" w:hAnsi="Arial" w:cs="Arial"/>
        </w:rPr>
        <w:t xml:space="preserve"> </w:t>
      </w:r>
      <w:r w:rsidRPr="004A1042">
        <w:rPr>
          <w:rFonts w:ascii="Arial" w:hAnsi="Arial" w:cs="Arial"/>
        </w:rPr>
        <w:t xml:space="preserve">all invoices </w:t>
      </w:r>
      <w:r>
        <w:rPr>
          <w:rFonts w:ascii="Arial" w:hAnsi="Arial" w:cs="Arial"/>
        </w:rPr>
        <w:t xml:space="preserve">require </w:t>
      </w:r>
      <w:proofErr w:type="gramStart"/>
      <w:r>
        <w:rPr>
          <w:rFonts w:ascii="Arial" w:hAnsi="Arial" w:cs="Arial"/>
        </w:rPr>
        <w:t>to be</w:t>
      </w:r>
      <w:proofErr w:type="gramEnd"/>
      <w:r w:rsidRPr="004A1042">
        <w:rPr>
          <w:rFonts w:ascii="Arial" w:hAnsi="Arial" w:cs="Arial"/>
        </w:rPr>
        <w:t xml:space="preserve"> with the </w:t>
      </w:r>
      <w:r w:rsidR="00515DFD">
        <w:rPr>
          <w:rFonts w:ascii="Arial" w:hAnsi="Arial" w:cs="Arial"/>
        </w:rPr>
        <w:t>F</w:t>
      </w:r>
      <w:r w:rsidRPr="004A1042">
        <w:rPr>
          <w:rFonts w:ascii="Arial" w:hAnsi="Arial" w:cs="Arial"/>
        </w:rPr>
        <w:t>inance department for payment by 2</w:t>
      </w:r>
      <w:r w:rsidR="004B4AAE">
        <w:rPr>
          <w:rFonts w:ascii="Arial" w:hAnsi="Arial" w:cs="Arial"/>
        </w:rPr>
        <w:t>4</w:t>
      </w:r>
      <w:r w:rsidRPr="004A1042">
        <w:rPr>
          <w:rFonts w:ascii="Arial" w:hAnsi="Arial" w:cs="Arial"/>
        </w:rPr>
        <w:t xml:space="preserve"> March to ensure sufficient time for processing before year-end</w:t>
      </w:r>
      <w:r>
        <w:rPr>
          <w:rFonts w:ascii="Arial" w:hAnsi="Arial" w:cs="Arial"/>
        </w:rPr>
        <w:t>;</w:t>
      </w:r>
    </w:p>
    <w:p w:rsidR="00D671F8" w:rsidRPr="004A1042" w:rsidRDefault="00D671F8" w:rsidP="00515DFD">
      <w:pPr>
        <w:ind w:left="360"/>
        <w:rPr>
          <w:rFonts w:ascii="Arial" w:hAnsi="Arial" w:cs="Arial"/>
        </w:rPr>
      </w:pPr>
      <w:r w:rsidRPr="004A1042">
        <w:rPr>
          <w:rFonts w:ascii="Arial" w:hAnsi="Arial" w:cs="Arial"/>
          <w:b/>
          <w:bCs/>
        </w:rPr>
        <w:t xml:space="preserve">Non-recurring </w:t>
      </w:r>
      <w:r w:rsidRPr="004A1042">
        <w:rPr>
          <w:rFonts w:ascii="Arial" w:hAnsi="Arial" w:cs="Arial"/>
        </w:rPr>
        <w:t>–</w:t>
      </w:r>
      <w:r>
        <w:rPr>
          <w:rFonts w:ascii="Arial" w:hAnsi="Arial" w:cs="Arial"/>
        </w:rPr>
        <w:t xml:space="preserve"> </w:t>
      </w:r>
      <w:r w:rsidRPr="004A1042">
        <w:rPr>
          <w:rFonts w:ascii="Arial" w:hAnsi="Arial" w:cs="Arial"/>
        </w:rPr>
        <w:t xml:space="preserve">all non-recurring items </w:t>
      </w:r>
      <w:r>
        <w:rPr>
          <w:rFonts w:ascii="Arial" w:hAnsi="Arial" w:cs="Arial"/>
        </w:rPr>
        <w:t>require to be receipted</w:t>
      </w:r>
      <w:r w:rsidRPr="004A1042">
        <w:rPr>
          <w:rFonts w:ascii="Arial" w:hAnsi="Arial" w:cs="Arial"/>
        </w:rPr>
        <w:t xml:space="preserve"> by 2</w:t>
      </w:r>
      <w:r w:rsidR="004B4AAE">
        <w:rPr>
          <w:rFonts w:ascii="Arial" w:hAnsi="Arial" w:cs="Arial"/>
        </w:rPr>
        <w:t>4</w:t>
      </w:r>
      <w:r w:rsidRPr="004A1042">
        <w:rPr>
          <w:rFonts w:ascii="Arial" w:hAnsi="Arial" w:cs="Arial"/>
        </w:rPr>
        <w:t xml:space="preserve"> March and invoiced for payment (managers will </w:t>
      </w:r>
      <w:r>
        <w:rPr>
          <w:rFonts w:ascii="Arial" w:hAnsi="Arial" w:cs="Arial"/>
        </w:rPr>
        <w:t>require be</w:t>
      </w:r>
      <w:r w:rsidRPr="004A1042">
        <w:rPr>
          <w:rFonts w:ascii="Arial" w:hAnsi="Arial" w:cs="Arial"/>
        </w:rPr>
        <w:t xml:space="preserve"> to </w:t>
      </w:r>
      <w:r>
        <w:rPr>
          <w:rFonts w:ascii="Arial" w:hAnsi="Arial" w:cs="Arial"/>
        </w:rPr>
        <w:t xml:space="preserve">have </w:t>
      </w:r>
      <w:r w:rsidRPr="004A1042">
        <w:rPr>
          <w:rFonts w:ascii="Arial" w:hAnsi="Arial" w:cs="Arial"/>
        </w:rPr>
        <w:t xml:space="preserve">notified procurement that items have been received), any items from this year’s non-recurring allocation not accounted for in </w:t>
      </w:r>
      <w:r w:rsidR="004B4AAE">
        <w:rPr>
          <w:rFonts w:ascii="Arial" w:hAnsi="Arial" w:cs="Arial"/>
        </w:rPr>
        <w:t>2016/17</w:t>
      </w:r>
      <w:r w:rsidRPr="004A1042">
        <w:rPr>
          <w:rFonts w:ascii="Arial" w:hAnsi="Arial" w:cs="Arial"/>
        </w:rPr>
        <w:t xml:space="preserve"> will be charged to the relevant department cost centre in the next financial year</w:t>
      </w:r>
      <w:r>
        <w:rPr>
          <w:rFonts w:ascii="Arial" w:hAnsi="Arial" w:cs="Arial"/>
        </w:rPr>
        <w:t>; and</w:t>
      </w:r>
    </w:p>
    <w:p w:rsidR="00D671F8" w:rsidRDefault="00D671F8" w:rsidP="00515DFD">
      <w:pPr>
        <w:ind w:left="360"/>
        <w:rPr>
          <w:rFonts w:ascii="Arial" w:hAnsi="Arial" w:cs="Arial"/>
        </w:rPr>
      </w:pPr>
      <w:r w:rsidRPr="004A1042">
        <w:rPr>
          <w:rFonts w:ascii="Arial" w:hAnsi="Arial" w:cs="Arial"/>
          <w:b/>
          <w:bCs/>
        </w:rPr>
        <w:t>Capital</w:t>
      </w:r>
      <w:r w:rsidRPr="004A1042">
        <w:rPr>
          <w:rFonts w:ascii="Arial" w:hAnsi="Arial" w:cs="Arial"/>
        </w:rPr>
        <w:t xml:space="preserve"> – as with non-recurring money procurement </w:t>
      </w:r>
      <w:r>
        <w:rPr>
          <w:rFonts w:ascii="Arial" w:hAnsi="Arial" w:cs="Arial"/>
        </w:rPr>
        <w:t xml:space="preserve">require to </w:t>
      </w:r>
      <w:r w:rsidRPr="004A1042">
        <w:rPr>
          <w:rFonts w:ascii="Arial" w:hAnsi="Arial" w:cs="Arial"/>
        </w:rPr>
        <w:t>be advised of the receipt of all capital items by 2</w:t>
      </w:r>
      <w:r w:rsidR="004B4AAE">
        <w:rPr>
          <w:rFonts w:ascii="Arial" w:hAnsi="Arial" w:cs="Arial"/>
        </w:rPr>
        <w:t>4</w:t>
      </w:r>
      <w:r w:rsidRPr="004A1042">
        <w:rPr>
          <w:rFonts w:ascii="Arial" w:hAnsi="Arial" w:cs="Arial"/>
        </w:rPr>
        <w:t xml:space="preserve"> March and invoices be received for payment by this date</w:t>
      </w:r>
      <w:r>
        <w:rPr>
          <w:rFonts w:ascii="Arial" w:hAnsi="Arial" w:cs="Arial"/>
        </w:rPr>
        <w:t>.</w:t>
      </w:r>
    </w:p>
    <w:p w:rsidR="00D671F8" w:rsidRDefault="00D671F8" w:rsidP="00515DFD">
      <w:pPr>
        <w:ind w:left="360"/>
        <w:rPr>
          <w:rFonts w:ascii="Arial" w:hAnsi="Arial" w:cs="Arial"/>
        </w:rPr>
      </w:pPr>
    </w:p>
    <w:p w:rsidR="00D671F8" w:rsidRDefault="00D671F8" w:rsidP="00515DFD">
      <w:pPr>
        <w:ind w:left="360"/>
        <w:rPr>
          <w:rFonts w:ascii="Arial" w:hAnsi="Arial" w:cs="Arial"/>
        </w:rPr>
      </w:pPr>
      <w:r>
        <w:rPr>
          <w:rFonts w:ascii="Arial" w:hAnsi="Arial" w:cs="Arial"/>
        </w:rPr>
        <w:t>In addition to the above deadlines</w:t>
      </w:r>
      <w:r w:rsidR="00515DFD">
        <w:rPr>
          <w:rFonts w:ascii="Arial" w:hAnsi="Arial" w:cs="Arial"/>
        </w:rPr>
        <w:t>,</w:t>
      </w:r>
      <w:r>
        <w:rPr>
          <w:rFonts w:ascii="Arial" w:hAnsi="Arial" w:cs="Arial"/>
        </w:rPr>
        <w:t xml:space="preserve"> any non- routine items that have not previously been discussed with finance require to be discussed with finance in order to be included in the year-end out-turn.</w:t>
      </w:r>
    </w:p>
    <w:p w:rsidR="00B10541" w:rsidRDefault="00B10541" w:rsidP="00515DFD">
      <w:pPr>
        <w:pStyle w:val="Heading4"/>
        <w:numPr>
          <w:ilvl w:val="0"/>
          <w:numId w:val="0"/>
        </w:numPr>
        <w:rPr>
          <w:rFonts w:ascii="Arial" w:hAnsi="Arial" w:cs="Arial"/>
        </w:rPr>
      </w:pPr>
    </w:p>
    <w:p w:rsidR="00515DFD" w:rsidRPr="00515DFD" w:rsidRDefault="00515DFD" w:rsidP="00515DFD"/>
    <w:p w:rsidR="00B10541" w:rsidRPr="00440BA9" w:rsidRDefault="00B10541" w:rsidP="00515DFD">
      <w:pPr>
        <w:pStyle w:val="Heading4"/>
        <w:numPr>
          <w:ilvl w:val="0"/>
          <w:numId w:val="3"/>
        </w:numPr>
        <w:rPr>
          <w:rFonts w:ascii="Arial" w:hAnsi="Arial" w:cs="Arial"/>
        </w:rPr>
      </w:pPr>
      <w:r>
        <w:rPr>
          <w:rFonts w:ascii="Arial" w:hAnsi="Arial" w:cs="Arial"/>
        </w:rPr>
        <w:t>Capital – updated plan</w:t>
      </w:r>
    </w:p>
    <w:p w:rsidR="00B10541" w:rsidRPr="00D97FBD" w:rsidRDefault="00B10541" w:rsidP="00515DFD">
      <w:pPr>
        <w:pStyle w:val="BodyTextIndent2"/>
        <w:ind w:left="360"/>
        <w:jc w:val="left"/>
        <w:rPr>
          <w:rFonts w:ascii="Arial" w:hAnsi="Arial" w:cs="Arial"/>
          <w:b/>
        </w:rPr>
      </w:pPr>
    </w:p>
    <w:p w:rsidR="00B10541" w:rsidRDefault="00B10541" w:rsidP="00515DFD">
      <w:pPr>
        <w:ind w:left="360"/>
        <w:rPr>
          <w:rFonts w:ascii="Arial" w:hAnsi="Arial" w:cs="Arial"/>
          <w:bCs/>
          <w:iCs/>
        </w:rPr>
      </w:pPr>
      <w:r>
        <w:rPr>
          <w:rFonts w:ascii="Arial" w:hAnsi="Arial" w:cs="Arial"/>
          <w:bCs/>
          <w:iCs/>
        </w:rPr>
        <w:t xml:space="preserve">Detailed work has been undertaken to forecast </w:t>
      </w:r>
      <w:proofErr w:type="gramStart"/>
      <w:r>
        <w:rPr>
          <w:rFonts w:ascii="Arial" w:hAnsi="Arial" w:cs="Arial"/>
          <w:bCs/>
          <w:iCs/>
        </w:rPr>
        <w:t>the out-turn</w:t>
      </w:r>
      <w:proofErr w:type="gramEnd"/>
      <w:r>
        <w:rPr>
          <w:rFonts w:ascii="Arial" w:hAnsi="Arial" w:cs="Arial"/>
          <w:bCs/>
          <w:iCs/>
        </w:rPr>
        <w:t xml:space="preserve"> fo</w:t>
      </w:r>
      <w:r w:rsidR="00515DFD">
        <w:rPr>
          <w:rFonts w:ascii="Arial" w:hAnsi="Arial" w:cs="Arial"/>
          <w:bCs/>
          <w:iCs/>
        </w:rPr>
        <w:t>r the capital spend for 2016/17. B</w:t>
      </w:r>
      <w:r>
        <w:rPr>
          <w:rFonts w:ascii="Arial" w:hAnsi="Arial" w:cs="Arial"/>
          <w:bCs/>
          <w:iCs/>
        </w:rPr>
        <w:t xml:space="preserve">ased on work undertaken to </w:t>
      </w:r>
      <w:r w:rsidR="00AA3732">
        <w:rPr>
          <w:rFonts w:ascii="Arial" w:hAnsi="Arial" w:cs="Arial"/>
          <w:bCs/>
          <w:iCs/>
        </w:rPr>
        <w:t>date</w:t>
      </w:r>
      <w:r w:rsidR="00515DFD">
        <w:rPr>
          <w:rFonts w:ascii="Arial" w:hAnsi="Arial" w:cs="Arial"/>
          <w:bCs/>
          <w:iCs/>
        </w:rPr>
        <w:t>,</w:t>
      </w:r>
      <w:r w:rsidR="00AA3732">
        <w:rPr>
          <w:rFonts w:ascii="Arial" w:hAnsi="Arial" w:cs="Arial"/>
          <w:bCs/>
          <w:iCs/>
        </w:rPr>
        <w:t xml:space="preserve"> </w:t>
      </w:r>
      <w:r>
        <w:rPr>
          <w:rFonts w:ascii="Arial" w:hAnsi="Arial" w:cs="Arial"/>
          <w:bCs/>
          <w:iCs/>
        </w:rPr>
        <w:t xml:space="preserve">it is forecast </w:t>
      </w:r>
      <w:r w:rsidR="007B512F">
        <w:rPr>
          <w:rFonts w:ascii="Arial" w:hAnsi="Arial" w:cs="Arial"/>
          <w:bCs/>
          <w:iCs/>
        </w:rPr>
        <w:t xml:space="preserve">this will be </w:t>
      </w:r>
      <w:r>
        <w:rPr>
          <w:rFonts w:ascii="Arial" w:hAnsi="Arial" w:cs="Arial"/>
          <w:bCs/>
          <w:iCs/>
        </w:rPr>
        <w:t xml:space="preserve">delivered in line with the plan. </w:t>
      </w:r>
      <w:r w:rsidR="005E42EA">
        <w:rPr>
          <w:rFonts w:ascii="Arial" w:hAnsi="Arial" w:cs="Arial"/>
          <w:bCs/>
          <w:iCs/>
        </w:rPr>
        <w:t xml:space="preserve">A considerable amount of work has been undertaken to realign planned capital expenditure from 2016/17 to </w:t>
      </w:r>
      <w:r w:rsidR="005E42EA">
        <w:rPr>
          <w:rFonts w:ascii="Arial" w:hAnsi="Arial" w:cs="Arial"/>
          <w:bCs/>
          <w:iCs/>
        </w:rPr>
        <w:lastRenderedPageBreak/>
        <w:t>2017/18 and identifying additional projects</w:t>
      </w:r>
      <w:r w:rsidR="00656C33">
        <w:rPr>
          <w:rFonts w:ascii="Arial" w:hAnsi="Arial" w:cs="Arial"/>
          <w:bCs/>
          <w:iCs/>
        </w:rPr>
        <w:t xml:space="preserve"> to match the projects moved to 2017/18.  This movement has been agreed at the capital group and </w:t>
      </w:r>
      <w:r w:rsidR="007B512F">
        <w:rPr>
          <w:rFonts w:ascii="Arial" w:hAnsi="Arial" w:cs="Arial"/>
          <w:bCs/>
          <w:iCs/>
        </w:rPr>
        <w:t xml:space="preserve">capital plan for </w:t>
      </w:r>
      <w:r w:rsidR="00656C33">
        <w:rPr>
          <w:rFonts w:ascii="Arial" w:hAnsi="Arial" w:cs="Arial"/>
          <w:bCs/>
          <w:iCs/>
        </w:rPr>
        <w:t xml:space="preserve">2017/18 </w:t>
      </w:r>
      <w:r w:rsidR="007B512F">
        <w:rPr>
          <w:rFonts w:ascii="Arial" w:hAnsi="Arial" w:cs="Arial"/>
          <w:bCs/>
          <w:iCs/>
        </w:rPr>
        <w:t>has been agreed</w:t>
      </w:r>
      <w:r w:rsidR="00656C33">
        <w:rPr>
          <w:rFonts w:ascii="Arial" w:hAnsi="Arial" w:cs="Arial"/>
          <w:bCs/>
          <w:iCs/>
        </w:rPr>
        <w:t>.</w:t>
      </w:r>
    </w:p>
    <w:p w:rsidR="00B10541" w:rsidRDefault="00B10541" w:rsidP="00515DFD">
      <w:pPr>
        <w:ind w:left="360"/>
        <w:rPr>
          <w:rFonts w:ascii="Arial" w:hAnsi="Arial" w:cs="Arial"/>
          <w:bCs/>
          <w:iCs/>
        </w:rPr>
      </w:pPr>
    </w:p>
    <w:p w:rsidR="00B10541" w:rsidRDefault="00B10541" w:rsidP="00515DFD">
      <w:pPr>
        <w:ind w:left="360"/>
        <w:rPr>
          <w:rFonts w:ascii="Arial" w:hAnsi="Arial" w:cs="Arial"/>
          <w:bCs/>
          <w:iCs/>
        </w:rPr>
      </w:pPr>
      <w:r>
        <w:rPr>
          <w:rFonts w:ascii="Arial" w:hAnsi="Arial" w:cs="Arial"/>
          <w:bCs/>
          <w:iCs/>
        </w:rPr>
        <w:t xml:space="preserve">The Board continue to work closely with </w:t>
      </w:r>
      <w:r w:rsidR="00515DFD">
        <w:rPr>
          <w:rFonts w:ascii="Arial" w:hAnsi="Arial" w:cs="Arial"/>
          <w:bCs/>
          <w:iCs/>
        </w:rPr>
        <w:t>the Scottish Government Health and Social Care Directorates (</w:t>
      </w:r>
      <w:r>
        <w:rPr>
          <w:rFonts w:ascii="Arial" w:hAnsi="Arial" w:cs="Arial"/>
          <w:bCs/>
          <w:iCs/>
        </w:rPr>
        <w:t>SGHSCD</w:t>
      </w:r>
      <w:r w:rsidR="00515DFD">
        <w:rPr>
          <w:rFonts w:ascii="Arial" w:hAnsi="Arial" w:cs="Arial"/>
          <w:bCs/>
          <w:iCs/>
        </w:rPr>
        <w:t>)</w:t>
      </w:r>
      <w:r>
        <w:rPr>
          <w:rFonts w:ascii="Arial" w:hAnsi="Arial" w:cs="Arial"/>
          <w:bCs/>
          <w:iCs/>
        </w:rPr>
        <w:t xml:space="preserve"> with regard to capital </w:t>
      </w:r>
      <w:proofErr w:type="gramStart"/>
      <w:r>
        <w:rPr>
          <w:rFonts w:ascii="Arial" w:hAnsi="Arial" w:cs="Arial"/>
          <w:bCs/>
          <w:iCs/>
        </w:rPr>
        <w:t>spend</w:t>
      </w:r>
      <w:proofErr w:type="gramEnd"/>
      <w:r>
        <w:rPr>
          <w:rFonts w:ascii="Arial" w:hAnsi="Arial" w:cs="Arial"/>
          <w:bCs/>
          <w:iCs/>
        </w:rPr>
        <w:t xml:space="preserve"> and future plans</w:t>
      </w:r>
      <w:r w:rsidR="00AA3732">
        <w:rPr>
          <w:rFonts w:ascii="Arial" w:hAnsi="Arial" w:cs="Arial"/>
          <w:bCs/>
          <w:iCs/>
        </w:rPr>
        <w:t xml:space="preserve"> especially in relation to our planned expansion</w:t>
      </w:r>
      <w:r>
        <w:rPr>
          <w:rFonts w:ascii="Arial" w:hAnsi="Arial" w:cs="Arial"/>
          <w:bCs/>
          <w:iCs/>
        </w:rPr>
        <w:t>.</w:t>
      </w:r>
    </w:p>
    <w:p w:rsidR="00932C0F" w:rsidRDefault="00932C0F" w:rsidP="00515DFD">
      <w:pPr>
        <w:ind w:left="360"/>
        <w:rPr>
          <w:rFonts w:ascii="Arial" w:hAnsi="Arial" w:cs="Arial"/>
          <w:bCs/>
          <w:iCs/>
        </w:rPr>
      </w:pPr>
    </w:p>
    <w:p w:rsidR="00515DFD" w:rsidRDefault="00515DFD" w:rsidP="00515DFD">
      <w:pPr>
        <w:ind w:left="360"/>
        <w:rPr>
          <w:rFonts w:ascii="Arial" w:hAnsi="Arial" w:cs="Arial"/>
          <w:bCs/>
          <w:iCs/>
        </w:rPr>
      </w:pPr>
    </w:p>
    <w:p w:rsidR="00932C0F" w:rsidRDefault="00932C0F" w:rsidP="00515DFD">
      <w:pPr>
        <w:pStyle w:val="Heading4"/>
        <w:numPr>
          <w:ilvl w:val="0"/>
          <w:numId w:val="3"/>
        </w:numPr>
        <w:rPr>
          <w:rFonts w:ascii="Arial" w:hAnsi="Arial" w:cs="Arial"/>
        </w:rPr>
      </w:pPr>
      <w:r>
        <w:rPr>
          <w:rFonts w:ascii="Arial" w:hAnsi="Arial" w:cs="Arial"/>
        </w:rPr>
        <w:t>Off-Payroll Workers – IR35</w:t>
      </w:r>
    </w:p>
    <w:p w:rsidR="00932C0F" w:rsidRDefault="00932C0F" w:rsidP="00515DFD"/>
    <w:p w:rsidR="00932C0F" w:rsidRDefault="00515DFD" w:rsidP="00515DFD">
      <w:pPr>
        <w:ind w:left="360"/>
        <w:rPr>
          <w:rFonts w:ascii="Arial" w:hAnsi="Arial" w:cs="Arial"/>
          <w:bCs/>
          <w:iCs/>
        </w:rPr>
      </w:pPr>
      <w:r>
        <w:rPr>
          <w:rFonts w:ascii="Arial" w:hAnsi="Arial" w:cs="Arial"/>
          <w:bCs/>
          <w:iCs/>
        </w:rPr>
        <w:t>Her Majesty’s Revenue and Customs (</w:t>
      </w:r>
      <w:r w:rsidR="00932C0F" w:rsidRPr="001C064C">
        <w:rPr>
          <w:rFonts w:ascii="Arial" w:hAnsi="Arial" w:cs="Arial"/>
          <w:bCs/>
          <w:iCs/>
        </w:rPr>
        <w:t>HMRC</w:t>
      </w:r>
      <w:r>
        <w:rPr>
          <w:rFonts w:ascii="Arial" w:hAnsi="Arial" w:cs="Arial"/>
          <w:bCs/>
          <w:iCs/>
        </w:rPr>
        <w:t>)</w:t>
      </w:r>
      <w:r w:rsidR="00932C0F" w:rsidRPr="001C064C">
        <w:rPr>
          <w:rFonts w:ascii="Arial" w:hAnsi="Arial" w:cs="Arial"/>
          <w:bCs/>
          <w:iCs/>
        </w:rPr>
        <w:t xml:space="preserve"> Guidance on Off-Payroll workers issued as IR 35 has been in operation in the UK since 2000</w:t>
      </w:r>
      <w:r>
        <w:rPr>
          <w:rFonts w:ascii="Arial" w:hAnsi="Arial" w:cs="Arial"/>
          <w:bCs/>
          <w:iCs/>
        </w:rPr>
        <w:t>,</w:t>
      </w:r>
      <w:r w:rsidR="001C064C" w:rsidRPr="001C064C">
        <w:rPr>
          <w:rFonts w:ascii="Arial" w:hAnsi="Arial" w:cs="Arial"/>
          <w:bCs/>
          <w:iCs/>
        </w:rPr>
        <w:t xml:space="preserve"> with the Board formally reporting on this in the 2015/16 annual accounts</w:t>
      </w:r>
      <w:r w:rsidR="001C064C">
        <w:rPr>
          <w:rFonts w:ascii="Arial" w:hAnsi="Arial" w:cs="Arial"/>
          <w:bCs/>
          <w:iCs/>
        </w:rPr>
        <w:t xml:space="preserve"> as an intermediary year.  The guidance has changed significantly since </w:t>
      </w:r>
      <w:r w:rsidR="000720A5">
        <w:rPr>
          <w:rFonts w:ascii="Arial" w:hAnsi="Arial" w:cs="Arial"/>
          <w:bCs/>
          <w:iCs/>
        </w:rPr>
        <w:t>its</w:t>
      </w:r>
      <w:r w:rsidR="001C064C">
        <w:rPr>
          <w:rFonts w:ascii="Arial" w:hAnsi="Arial" w:cs="Arial"/>
          <w:bCs/>
          <w:iCs/>
        </w:rPr>
        <w:t xml:space="preserve"> introduction</w:t>
      </w:r>
      <w:r>
        <w:rPr>
          <w:rFonts w:ascii="Arial" w:hAnsi="Arial" w:cs="Arial"/>
          <w:bCs/>
          <w:iCs/>
        </w:rPr>
        <w:t>,</w:t>
      </w:r>
      <w:r w:rsidR="000720A5">
        <w:rPr>
          <w:rFonts w:ascii="Arial" w:hAnsi="Arial" w:cs="Arial"/>
          <w:bCs/>
          <w:iCs/>
        </w:rPr>
        <w:t xml:space="preserve"> with the most </w:t>
      </w:r>
      <w:r w:rsidR="002211AB">
        <w:rPr>
          <w:rFonts w:ascii="Arial" w:hAnsi="Arial" w:cs="Arial"/>
          <w:bCs/>
          <w:iCs/>
        </w:rPr>
        <w:t>significant change</w:t>
      </w:r>
      <w:r w:rsidR="000720A5">
        <w:rPr>
          <w:rFonts w:ascii="Arial" w:hAnsi="Arial" w:cs="Arial"/>
          <w:bCs/>
          <w:iCs/>
        </w:rPr>
        <w:t xml:space="preserve"> for the public sector coming into force from 6 April 2017.  </w:t>
      </w:r>
    </w:p>
    <w:p w:rsidR="000720A5" w:rsidRDefault="000720A5" w:rsidP="00515DFD">
      <w:pPr>
        <w:ind w:left="360"/>
        <w:rPr>
          <w:rFonts w:ascii="Arial" w:hAnsi="Arial" w:cs="Arial"/>
          <w:bCs/>
          <w:iCs/>
        </w:rPr>
      </w:pPr>
    </w:p>
    <w:p w:rsidR="00515DFD" w:rsidRDefault="00515DFD" w:rsidP="00515DFD">
      <w:pPr>
        <w:ind w:left="360"/>
        <w:rPr>
          <w:rFonts w:ascii="Arial" w:hAnsi="Arial" w:cs="Arial"/>
          <w:bCs/>
          <w:iCs/>
        </w:rPr>
      </w:pPr>
    </w:p>
    <w:p w:rsidR="00B10541" w:rsidRPr="00FB7212" w:rsidRDefault="00B10541" w:rsidP="00515DFD">
      <w:pPr>
        <w:pStyle w:val="Heading4"/>
        <w:numPr>
          <w:ilvl w:val="0"/>
          <w:numId w:val="3"/>
        </w:numPr>
        <w:rPr>
          <w:rFonts w:ascii="Arial" w:hAnsi="Arial" w:cs="Arial"/>
        </w:rPr>
      </w:pPr>
      <w:r>
        <w:rPr>
          <w:rFonts w:ascii="Arial" w:hAnsi="Arial" w:cs="Arial"/>
        </w:rPr>
        <w:t>Efficiency Savings</w:t>
      </w:r>
    </w:p>
    <w:p w:rsidR="00B10541" w:rsidRPr="00320A94" w:rsidRDefault="00B10541" w:rsidP="00515DFD">
      <w:pPr>
        <w:ind w:left="360"/>
        <w:rPr>
          <w:rFonts w:ascii="Arial" w:hAnsi="Arial" w:cs="Arial"/>
          <w:sz w:val="16"/>
        </w:rPr>
      </w:pPr>
    </w:p>
    <w:p w:rsidR="00B10541" w:rsidRDefault="00B10541" w:rsidP="00515DFD">
      <w:pPr>
        <w:ind w:left="360"/>
        <w:rPr>
          <w:rFonts w:ascii="Arial" w:hAnsi="Arial" w:cs="Arial"/>
        </w:rPr>
      </w:pPr>
      <w:r w:rsidRPr="002C5573">
        <w:rPr>
          <w:rFonts w:ascii="Arial" w:hAnsi="Arial" w:cs="Arial"/>
        </w:rPr>
        <w:t xml:space="preserve">At month </w:t>
      </w:r>
      <w:r w:rsidR="000D735F">
        <w:rPr>
          <w:rFonts w:ascii="Arial" w:hAnsi="Arial" w:cs="Arial"/>
        </w:rPr>
        <w:t>10</w:t>
      </w:r>
      <w:r w:rsidR="00515DFD">
        <w:rPr>
          <w:rFonts w:ascii="Arial" w:hAnsi="Arial" w:cs="Arial"/>
        </w:rPr>
        <w:t>,</w:t>
      </w:r>
      <w:r w:rsidRPr="002C5573">
        <w:rPr>
          <w:rFonts w:ascii="Arial" w:hAnsi="Arial" w:cs="Arial"/>
        </w:rPr>
        <w:t xml:space="preserve"> recurring efficiency savings achieved were £</w:t>
      </w:r>
      <w:r w:rsidR="000D735F">
        <w:rPr>
          <w:rFonts w:ascii="Arial" w:hAnsi="Arial" w:cs="Arial"/>
        </w:rPr>
        <w:t>3.238</w:t>
      </w:r>
      <w:r>
        <w:rPr>
          <w:rFonts w:ascii="Arial" w:hAnsi="Arial" w:cs="Arial"/>
        </w:rPr>
        <w:t>m against a plan of £</w:t>
      </w:r>
      <w:r w:rsidR="000D735F">
        <w:rPr>
          <w:rFonts w:ascii="Arial" w:hAnsi="Arial" w:cs="Arial"/>
        </w:rPr>
        <w:t>3.115</w:t>
      </w:r>
      <w:r>
        <w:rPr>
          <w:rFonts w:ascii="Arial" w:hAnsi="Arial" w:cs="Arial"/>
        </w:rPr>
        <w:t>m</w:t>
      </w:r>
      <w:r w:rsidRPr="002C5573">
        <w:rPr>
          <w:rFonts w:ascii="Arial" w:hAnsi="Arial" w:cs="Arial"/>
        </w:rPr>
        <w:t>, which is demonstrating we are £</w:t>
      </w:r>
      <w:r w:rsidR="000D735F">
        <w:rPr>
          <w:rFonts w:ascii="Arial" w:hAnsi="Arial" w:cs="Arial"/>
        </w:rPr>
        <w:t>123</w:t>
      </w:r>
      <w:r w:rsidRPr="002C5573">
        <w:rPr>
          <w:rFonts w:ascii="Arial" w:hAnsi="Arial" w:cs="Arial"/>
        </w:rPr>
        <w:t xml:space="preserve">k ahead of plan at month </w:t>
      </w:r>
      <w:r w:rsidR="000D735F">
        <w:rPr>
          <w:rFonts w:ascii="Arial" w:hAnsi="Arial" w:cs="Arial"/>
        </w:rPr>
        <w:t>10</w:t>
      </w:r>
      <w:r w:rsidRPr="002C5573">
        <w:rPr>
          <w:rFonts w:ascii="Arial" w:hAnsi="Arial" w:cs="Arial"/>
        </w:rPr>
        <w:t>. Details of this are included in Appendix 1, page 4.  We also have non</w:t>
      </w:r>
      <w:r>
        <w:rPr>
          <w:rFonts w:ascii="Arial" w:hAnsi="Arial" w:cs="Arial"/>
        </w:rPr>
        <w:t>-recurring savings to date of £</w:t>
      </w:r>
      <w:r w:rsidR="000D735F">
        <w:rPr>
          <w:rFonts w:ascii="Arial" w:hAnsi="Arial" w:cs="Arial"/>
        </w:rPr>
        <w:t>414</w:t>
      </w:r>
      <w:r w:rsidRPr="002C5573">
        <w:rPr>
          <w:rFonts w:ascii="Arial" w:hAnsi="Arial" w:cs="Arial"/>
        </w:rPr>
        <w:t>k; these are also detailed in the appendix to this paper. Therefore total savings of £</w:t>
      </w:r>
      <w:r w:rsidR="00CB4697">
        <w:rPr>
          <w:rFonts w:ascii="Arial" w:hAnsi="Arial" w:cs="Arial"/>
        </w:rPr>
        <w:t>3.</w:t>
      </w:r>
      <w:r w:rsidR="000D735F">
        <w:rPr>
          <w:rFonts w:ascii="Arial" w:hAnsi="Arial" w:cs="Arial"/>
        </w:rPr>
        <w:t>652</w:t>
      </w:r>
      <w:r w:rsidRPr="002C5573">
        <w:rPr>
          <w:rFonts w:ascii="Arial" w:hAnsi="Arial" w:cs="Arial"/>
        </w:rPr>
        <w:t xml:space="preserve">m were </w:t>
      </w:r>
      <w:r w:rsidR="00B22D16" w:rsidRPr="002C5573">
        <w:rPr>
          <w:rFonts w:ascii="Arial" w:hAnsi="Arial" w:cs="Arial"/>
        </w:rPr>
        <w:t>delivered to</w:t>
      </w:r>
      <w:r w:rsidRPr="002C5573">
        <w:rPr>
          <w:rFonts w:ascii="Arial" w:hAnsi="Arial" w:cs="Arial"/>
        </w:rPr>
        <w:t xml:space="preserve"> the end of month </w:t>
      </w:r>
      <w:r w:rsidR="000D735F">
        <w:rPr>
          <w:rFonts w:ascii="Arial" w:hAnsi="Arial" w:cs="Arial"/>
        </w:rPr>
        <w:t>10</w:t>
      </w:r>
      <w:r w:rsidR="00515DFD">
        <w:rPr>
          <w:rFonts w:ascii="Arial" w:hAnsi="Arial" w:cs="Arial"/>
        </w:rPr>
        <w:t>.</w:t>
      </w:r>
    </w:p>
    <w:p w:rsidR="00B22D16" w:rsidRDefault="00B22D16" w:rsidP="00515DFD">
      <w:pPr>
        <w:rPr>
          <w:rFonts w:ascii="Arial" w:hAnsi="Arial" w:cs="Arial"/>
        </w:rPr>
      </w:pPr>
    </w:p>
    <w:p w:rsidR="00515DFD" w:rsidRPr="00FB7212" w:rsidRDefault="00515DFD" w:rsidP="00515DFD">
      <w:pPr>
        <w:rPr>
          <w:rFonts w:ascii="Arial" w:hAnsi="Arial" w:cs="Arial"/>
        </w:rPr>
      </w:pPr>
    </w:p>
    <w:p w:rsidR="00B10541" w:rsidRPr="00FB7212" w:rsidRDefault="00B10541" w:rsidP="00515DFD">
      <w:pPr>
        <w:pStyle w:val="Heading4"/>
        <w:numPr>
          <w:ilvl w:val="0"/>
          <w:numId w:val="3"/>
        </w:numPr>
        <w:rPr>
          <w:rFonts w:ascii="Arial" w:hAnsi="Arial" w:cs="Arial"/>
        </w:rPr>
      </w:pPr>
      <w:r w:rsidRPr="00FB7212">
        <w:rPr>
          <w:rFonts w:ascii="Arial" w:hAnsi="Arial" w:cs="Arial"/>
        </w:rPr>
        <w:t>Conclusion</w:t>
      </w:r>
    </w:p>
    <w:p w:rsidR="00B10541" w:rsidRPr="00FB7212" w:rsidRDefault="00B10541" w:rsidP="00515DFD">
      <w:pPr>
        <w:rPr>
          <w:rFonts w:ascii="Arial" w:hAnsi="Arial" w:cs="Arial"/>
          <w:b/>
          <w:bCs/>
          <w:sz w:val="16"/>
          <w:szCs w:val="20"/>
        </w:rPr>
      </w:pPr>
    </w:p>
    <w:p w:rsidR="00B10541" w:rsidRPr="00700075" w:rsidRDefault="00B10541" w:rsidP="00515DFD">
      <w:pPr>
        <w:pStyle w:val="BodyTextIndent2"/>
        <w:ind w:left="360"/>
        <w:jc w:val="left"/>
        <w:rPr>
          <w:rFonts w:ascii="Arial" w:hAnsi="Arial" w:cs="Arial"/>
          <w:bCs w:val="0"/>
          <w:iCs w:val="0"/>
        </w:rPr>
      </w:pPr>
      <w:r w:rsidRPr="00FB7212">
        <w:rPr>
          <w:rFonts w:ascii="Arial" w:hAnsi="Arial" w:cs="Arial"/>
          <w:bCs w:val="0"/>
          <w:iCs w:val="0"/>
        </w:rPr>
        <w:t xml:space="preserve">Members are asked to note this finance report for the period ended </w:t>
      </w:r>
      <w:r>
        <w:rPr>
          <w:rFonts w:ascii="Arial" w:hAnsi="Arial" w:cs="Arial"/>
          <w:bCs w:val="0"/>
          <w:iCs w:val="0"/>
        </w:rPr>
        <w:t>3</w:t>
      </w:r>
      <w:r w:rsidR="00CB4697">
        <w:rPr>
          <w:rFonts w:ascii="Arial" w:hAnsi="Arial" w:cs="Arial"/>
          <w:bCs w:val="0"/>
          <w:iCs w:val="0"/>
        </w:rPr>
        <w:t>1</w:t>
      </w:r>
      <w:r w:rsidRPr="00FB7212">
        <w:rPr>
          <w:rFonts w:ascii="Arial" w:hAnsi="Arial" w:cs="Arial"/>
          <w:bCs w:val="0"/>
          <w:iCs w:val="0"/>
        </w:rPr>
        <w:t xml:space="preserve"> </w:t>
      </w:r>
      <w:r w:rsidR="000D735F">
        <w:rPr>
          <w:rFonts w:ascii="Arial" w:hAnsi="Arial" w:cs="Arial"/>
          <w:bCs w:val="0"/>
          <w:iCs w:val="0"/>
        </w:rPr>
        <w:t>January 2017</w:t>
      </w:r>
      <w:r w:rsidRPr="00FB7212">
        <w:rPr>
          <w:rFonts w:ascii="Arial" w:hAnsi="Arial" w:cs="Arial"/>
          <w:bCs w:val="0"/>
          <w:iCs w:val="0"/>
        </w:rPr>
        <w:t>.</w:t>
      </w:r>
    </w:p>
    <w:p w:rsidR="00B10541" w:rsidRPr="00FB7212" w:rsidRDefault="00B10541" w:rsidP="00515DFD">
      <w:pPr>
        <w:rPr>
          <w:rFonts w:ascii="Arial" w:hAnsi="Arial" w:cs="Arial"/>
          <w:b/>
          <w:bCs/>
          <w:sz w:val="16"/>
          <w:szCs w:val="20"/>
        </w:rPr>
      </w:pPr>
    </w:p>
    <w:p w:rsidR="00B10541" w:rsidRDefault="00B10541" w:rsidP="00515DFD">
      <w:pPr>
        <w:pStyle w:val="Heading2"/>
        <w:rPr>
          <w:rFonts w:ascii="Arial" w:hAnsi="Arial" w:cs="Arial"/>
          <w:bCs w:val="0"/>
        </w:rPr>
      </w:pPr>
    </w:p>
    <w:p w:rsidR="00B10541" w:rsidRPr="00FB7212" w:rsidRDefault="00B10541" w:rsidP="00515DFD">
      <w:pPr>
        <w:pStyle w:val="Heading2"/>
        <w:rPr>
          <w:rFonts w:ascii="Arial" w:hAnsi="Arial" w:cs="Arial"/>
          <w:bCs w:val="0"/>
        </w:rPr>
      </w:pPr>
      <w:smartTag w:uri="urn:schemas-microsoft-com:office:smarttags" w:element="PersonName">
        <w:r w:rsidRPr="00FB7212">
          <w:rPr>
            <w:rFonts w:ascii="Arial" w:hAnsi="Arial" w:cs="Arial"/>
            <w:bCs w:val="0"/>
          </w:rPr>
          <w:t>Julie Carter</w:t>
        </w:r>
      </w:smartTag>
    </w:p>
    <w:p w:rsidR="00B10541" w:rsidRPr="00FB7212" w:rsidRDefault="00B10541" w:rsidP="00515DFD">
      <w:pPr>
        <w:rPr>
          <w:rFonts w:ascii="Arial" w:hAnsi="Arial" w:cs="Arial"/>
          <w:b/>
        </w:rPr>
      </w:pPr>
      <w:r w:rsidRPr="00FB7212">
        <w:rPr>
          <w:rFonts w:ascii="Arial" w:hAnsi="Arial" w:cs="Arial"/>
          <w:b/>
        </w:rPr>
        <w:t>Director of Finance</w:t>
      </w:r>
    </w:p>
    <w:p w:rsidR="00B10541" w:rsidRDefault="000D735F" w:rsidP="00515DFD">
      <w:pPr>
        <w:rPr>
          <w:rFonts w:ascii="Arial" w:hAnsi="Arial" w:cs="Arial"/>
          <w:b/>
        </w:rPr>
      </w:pPr>
      <w:r>
        <w:rPr>
          <w:rFonts w:ascii="Arial" w:hAnsi="Arial" w:cs="Arial"/>
          <w:b/>
        </w:rPr>
        <w:t>2 February</w:t>
      </w:r>
      <w:r w:rsidR="00B10541">
        <w:rPr>
          <w:rFonts w:ascii="Arial" w:hAnsi="Arial" w:cs="Arial"/>
          <w:b/>
        </w:rPr>
        <w:t xml:space="preserve"> 2017 </w:t>
      </w:r>
    </w:p>
    <w:p w:rsidR="00B10541" w:rsidRDefault="00B10541" w:rsidP="00515DFD">
      <w:pPr>
        <w:rPr>
          <w:rFonts w:ascii="Arial" w:hAnsi="Arial" w:cs="Arial"/>
          <w:b/>
        </w:rPr>
      </w:pPr>
    </w:p>
    <w:p w:rsidR="00F64E0F" w:rsidRDefault="00B10541" w:rsidP="00515DFD">
      <w:pPr>
        <w:rPr>
          <w:rFonts w:ascii="Arial" w:hAnsi="Arial" w:cs="Arial"/>
          <w:i/>
          <w:iCs/>
        </w:rPr>
      </w:pPr>
      <w:r w:rsidRPr="00FB7212">
        <w:rPr>
          <w:rFonts w:ascii="Arial" w:hAnsi="Arial" w:cs="Arial"/>
          <w:i/>
          <w:iCs/>
        </w:rPr>
        <w:t>(</w:t>
      </w:r>
      <w:smartTag w:uri="urn:schemas-microsoft-com:office:smarttags" w:element="PersonName">
        <w:r w:rsidRPr="00FB7212">
          <w:rPr>
            <w:rFonts w:ascii="Arial" w:hAnsi="Arial" w:cs="Arial"/>
            <w:i/>
            <w:iCs/>
          </w:rPr>
          <w:t>Lily Bryson</w:t>
        </w:r>
      </w:smartTag>
      <w:r>
        <w:rPr>
          <w:rFonts w:ascii="Arial" w:hAnsi="Arial" w:cs="Arial"/>
          <w:i/>
          <w:iCs/>
        </w:rPr>
        <w:t>,</w:t>
      </w:r>
      <w:r w:rsidRPr="00FB7212">
        <w:rPr>
          <w:rFonts w:ascii="Arial" w:hAnsi="Arial" w:cs="Arial"/>
          <w:i/>
          <w:iCs/>
        </w:rPr>
        <w:t xml:space="preserve"> Assistant Director of Finance)</w:t>
      </w:r>
    </w:p>
    <w:p w:rsidR="00F64E0F" w:rsidRDefault="00F64E0F" w:rsidP="00515DFD">
      <w:pPr>
        <w:rPr>
          <w:rFonts w:ascii="Arial" w:hAnsi="Arial" w:cs="Arial"/>
          <w:i/>
          <w:iCs/>
        </w:rPr>
      </w:pPr>
      <w:r>
        <w:rPr>
          <w:rFonts w:ascii="Arial" w:hAnsi="Arial" w:cs="Arial"/>
          <w:i/>
          <w:iCs/>
        </w:rPr>
        <w:br w:type="page"/>
      </w:r>
    </w:p>
    <w:p w:rsidR="009216AF" w:rsidRPr="009216AF" w:rsidRDefault="009216AF" w:rsidP="00515DFD">
      <w:pPr>
        <w:pStyle w:val="Heading6"/>
        <w:rPr>
          <w:rFonts w:ascii="Arial" w:hAnsi="Arial" w:cs="Arial"/>
          <w:color w:val="FF0000"/>
        </w:rPr>
      </w:pPr>
      <w:r w:rsidRPr="009216AF">
        <w:rPr>
          <w:rFonts w:ascii="Arial" w:hAnsi="Arial" w:cs="Arial"/>
          <w:color w:val="FF0000"/>
        </w:rPr>
        <w:lastRenderedPageBreak/>
        <w:t>For Board Members’ Information only</w:t>
      </w:r>
    </w:p>
    <w:p w:rsidR="009216AF" w:rsidRPr="009216AF" w:rsidRDefault="009216AF" w:rsidP="00515DFD"/>
    <w:p w:rsidR="00F64E0F" w:rsidRDefault="00F64E0F" w:rsidP="00515DFD">
      <w:pPr>
        <w:pStyle w:val="Heading6"/>
        <w:jc w:val="left"/>
        <w:rPr>
          <w:rFonts w:ascii="Arial" w:hAnsi="Arial" w:cs="Arial"/>
        </w:rPr>
      </w:pPr>
      <w:r w:rsidRPr="00FB7212">
        <w:rPr>
          <w:rFonts w:ascii="Arial" w:hAnsi="Arial" w:cs="Arial"/>
        </w:rPr>
        <w:t>Finance Report for April 201</w:t>
      </w:r>
      <w:r>
        <w:rPr>
          <w:rFonts w:ascii="Arial" w:hAnsi="Arial" w:cs="Arial"/>
        </w:rPr>
        <w:t>6</w:t>
      </w:r>
      <w:r w:rsidRPr="00FB7212">
        <w:rPr>
          <w:rFonts w:ascii="Arial" w:hAnsi="Arial" w:cs="Arial"/>
        </w:rPr>
        <w:t xml:space="preserve"> – </w:t>
      </w:r>
      <w:r>
        <w:rPr>
          <w:rFonts w:ascii="Arial" w:hAnsi="Arial" w:cs="Arial"/>
        </w:rPr>
        <w:t>January 2017</w:t>
      </w:r>
    </w:p>
    <w:p w:rsidR="00515DFD" w:rsidRPr="00515DFD" w:rsidRDefault="00515DFD" w:rsidP="00515DFD"/>
    <w:p w:rsidR="00F64E0F" w:rsidRPr="00FB7212" w:rsidRDefault="00F64E0F" w:rsidP="00515DFD">
      <w:pPr>
        <w:rPr>
          <w:rFonts w:ascii="Arial" w:hAnsi="Arial" w:cs="Arial"/>
          <w:b/>
          <w:bCs/>
          <w:iCs/>
        </w:rPr>
      </w:pPr>
    </w:p>
    <w:p w:rsidR="00F64E0F" w:rsidRPr="00FB7212" w:rsidRDefault="00F64E0F" w:rsidP="00515DFD">
      <w:pPr>
        <w:numPr>
          <w:ilvl w:val="0"/>
          <w:numId w:val="5"/>
        </w:numPr>
        <w:tabs>
          <w:tab w:val="clear" w:pos="720"/>
          <w:tab w:val="num" w:pos="360"/>
        </w:tabs>
        <w:rPr>
          <w:rFonts w:ascii="Arial" w:hAnsi="Arial" w:cs="Arial"/>
          <w:b/>
          <w:bCs/>
          <w:iCs/>
        </w:rPr>
      </w:pPr>
      <w:r w:rsidRPr="00FB7212">
        <w:rPr>
          <w:rFonts w:ascii="Arial" w:hAnsi="Arial" w:cs="Arial"/>
          <w:b/>
          <w:bCs/>
          <w:iCs/>
        </w:rPr>
        <w:t>Introduction</w:t>
      </w:r>
    </w:p>
    <w:p w:rsidR="00F64E0F" w:rsidRPr="00F80211" w:rsidRDefault="00F64E0F" w:rsidP="00515DFD">
      <w:pPr>
        <w:rPr>
          <w:rFonts w:ascii="Arial" w:hAnsi="Arial" w:cs="Arial"/>
          <w:b/>
          <w:bCs/>
          <w:iCs/>
          <w:sz w:val="16"/>
          <w:szCs w:val="16"/>
        </w:rPr>
      </w:pPr>
    </w:p>
    <w:p w:rsidR="00F64E0F" w:rsidRPr="001C278B" w:rsidRDefault="00F64E0F" w:rsidP="00515DFD">
      <w:pPr>
        <w:pStyle w:val="BodyTextIndent"/>
        <w:rPr>
          <w:rFonts w:ascii="Arial" w:hAnsi="Arial" w:cs="Arial"/>
        </w:rPr>
      </w:pPr>
      <w:r w:rsidRPr="001C278B">
        <w:rPr>
          <w:rFonts w:ascii="Arial" w:hAnsi="Arial" w:cs="Arial"/>
        </w:rPr>
        <w:t>This paper gives detail of the financial results for the period ending 3</w:t>
      </w:r>
      <w:r>
        <w:rPr>
          <w:rFonts w:ascii="Arial" w:hAnsi="Arial" w:cs="Arial"/>
        </w:rPr>
        <w:t>1</w:t>
      </w:r>
      <w:r w:rsidRPr="001C278B">
        <w:rPr>
          <w:rFonts w:ascii="Arial" w:hAnsi="Arial" w:cs="Arial"/>
        </w:rPr>
        <w:t xml:space="preserve"> </w:t>
      </w:r>
      <w:r>
        <w:rPr>
          <w:rFonts w:ascii="Arial" w:hAnsi="Arial" w:cs="Arial"/>
        </w:rPr>
        <w:t>January 2017</w:t>
      </w:r>
      <w:r w:rsidRPr="001C278B">
        <w:rPr>
          <w:rFonts w:ascii="Arial" w:hAnsi="Arial" w:cs="Arial"/>
        </w:rPr>
        <w:t xml:space="preserve">, as reported the Scottish Government Health and Social Care Directorate (SGHSCD).  </w:t>
      </w:r>
    </w:p>
    <w:p w:rsidR="00F64E0F" w:rsidRPr="001C278B" w:rsidRDefault="00F64E0F" w:rsidP="00515DFD">
      <w:pPr>
        <w:rPr>
          <w:rFonts w:ascii="Arial" w:hAnsi="Arial" w:cs="Arial"/>
          <w:iCs/>
          <w:sz w:val="16"/>
          <w:szCs w:val="16"/>
        </w:rPr>
      </w:pPr>
    </w:p>
    <w:p w:rsidR="00F64E0F" w:rsidRPr="001C278B" w:rsidRDefault="00F64E0F" w:rsidP="00515DFD">
      <w:pPr>
        <w:ind w:left="360"/>
        <w:rPr>
          <w:rFonts w:ascii="Arial" w:hAnsi="Arial" w:cs="Arial"/>
          <w:iCs/>
        </w:rPr>
      </w:pPr>
      <w:r w:rsidRPr="001C278B">
        <w:rPr>
          <w:rFonts w:ascii="Arial" w:hAnsi="Arial" w:cs="Arial"/>
          <w:iCs/>
        </w:rPr>
        <w:t xml:space="preserve">The format of the information reported under this section of the finance report relating to management accounts information has been reviewed to align with activity changes and cost driven pressures. </w:t>
      </w:r>
    </w:p>
    <w:p w:rsidR="00F64E0F" w:rsidRDefault="00F64E0F" w:rsidP="00515DFD">
      <w:pPr>
        <w:rPr>
          <w:rFonts w:ascii="Arial" w:hAnsi="Arial" w:cs="Arial"/>
          <w:iCs/>
          <w:sz w:val="16"/>
          <w:szCs w:val="16"/>
        </w:rPr>
      </w:pPr>
    </w:p>
    <w:p w:rsidR="00515DFD" w:rsidRPr="00F80211" w:rsidRDefault="00515DFD" w:rsidP="00515DFD">
      <w:pPr>
        <w:rPr>
          <w:rFonts w:ascii="Arial" w:hAnsi="Arial" w:cs="Arial"/>
          <w:iCs/>
          <w:sz w:val="16"/>
          <w:szCs w:val="16"/>
        </w:rPr>
      </w:pPr>
    </w:p>
    <w:p w:rsidR="00F64E0F" w:rsidRPr="000C3724" w:rsidRDefault="00F64E0F" w:rsidP="00515DFD">
      <w:pPr>
        <w:numPr>
          <w:ilvl w:val="0"/>
          <w:numId w:val="5"/>
        </w:numPr>
        <w:tabs>
          <w:tab w:val="clear" w:pos="720"/>
          <w:tab w:val="num" w:pos="360"/>
        </w:tabs>
        <w:rPr>
          <w:rFonts w:ascii="Arial" w:hAnsi="Arial" w:cs="Arial"/>
          <w:b/>
          <w:bCs/>
          <w:iCs/>
        </w:rPr>
      </w:pPr>
      <w:r w:rsidRPr="00173DB6">
        <w:rPr>
          <w:rFonts w:ascii="Arial" w:hAnsi="Arial" w:cs="Arial"/>
          <w:b/>
          <w:bCs/>
          <w:iCs/>
        </w:rPr>
        <w:t>Income</w:t>
      </w:r>
    </w:p>
    <w:p w:rsidR="00F64E0F" w:rsidRPr="000C3724" w:rsidRDefault="00F64E0F" w:rsidP="00515DFD">
      <w:pPr>
        <w:rPr>
          <w:rFonts w:ascii="Arial" w:hAnsi="Arial" w:cs="Arial"/>
          <w:b/>
          <w:bCs/>
          <w:iCs/>
        </w:rPr>
      </w:pPr>
    </w:p>
    <w:p w:rsidR="00F64E0F" w:rsidRPr="00877409" w:rsidRDefault="00F64E0F" w:rsidP="00515DFD">
      <w:pPr>
        <w:pStyle w:val="BodyTextIndent3"/>
        <w:jc w:val="left"/>
        <w:rPr>
          <w:rFonts w:ascii="Arial" w:hAnsi="Arial" w:cs="Arial"/>
        </w:rPr>
      </w:pPr>
      <w:r w:rsidRPr="00877409">
        <w:rPr>
          <w:rFonts w:ascii="Arial" w:hAnsi="Arial" w:cs="Arial"/>
        </w:rPr>
        <w:t>Total core income/funding position to date is £</w:t>
      </w:r>
      <w:r>
        <w:rPr>
          <w:rFonts w:ascii="Arial" w:hAnsi="Arial" w:cs="Arial"/>
        </w:rPr>
        <w:t>1</w:t>
      </w:r>
      <w:r w:rsidRPr="00877409">
        <w:rPr>
          <w:rFonts w:ascii="Arial" w:hAnsi="Arial" w:cs="Arial"/>
        </w:rPr>
        <w:t>.</w:t>
      </w:r>
      <w:r>
        <w:rPr>
          <w:rFonts w:ascii="Arial" w:hAnsi="Arial" w:cs="Arial"/>
        </w:rPr>
        <w:t>133</w:t>
      </w:r>
      <w:r w:rsidRPr="00877409">
        <w:rPr>
          <w:rFonts w:ascii="Arial" w:hAnsi="Arial" w:cs="Arial"/>
        </w:rPr>
        <w:t>m or 1.</w:t>
      </w:r>
      <w:r>
        <w:rPr>
          <w:rFonts w:ascii="Arial" w:hAnsi="Arial" w:cs="Arial"/>
        </w:rPr>
        <w:t>10</w:t>
      </w:r>
      <w:r w:rsidRPr="00877409">
        <w:rPr>
          <w:rFonts w:ascii="Arial" w:hAnsi="Arial" w:cs="Arial"/>
        </w:rPr>
        <w:t xml:space="preserve">% over year to date budget plan - Appendix 1 (page 2).  </w:t>
      </w:r>
    </w:p>
    <w:p w:rsidR="00F64E0F" w:rsidRPr="00877409" w:rsidRDefault="00F64E0F" w:rsidP="00515DFD">
      <w:pPr>
        <w:rPr>
          <w:rFonts w:ascii="Arial" w:hAnsi="Arial" w:cs="Arial"/>
          <w:b/>
          <w:bCs/>
          <w:iCs/>
        </w:rPr>
      </w:pPr>
    </w:p>
    <w:p w:rsidR="00F64E0F" w:rsidRPr="00877409" w:rsidRDefault="00F64E0F" w:rsidP="00515DFD">
      <w:pPr>
        <w:pStyle w:val="BodyTextIndent3"/>
        <w:jc w:val="left"/>
        <w:rPr>
          <w:rFonts w:ascii="Arial" w:hAnsi="Arial" w:cs="Arial"/>
        </w:rPr>
      </w:pPr>
      <w:r w:rsidRPr="00877409">
        <w:rPr>
          <w:rFonts w:ascii="Arial" w:hAnsi="Arial" w:cs="Arial"/>
        </w:rPr>
        <w:t>Total core year-end income is forecast as £12</w:t>
      </w:r>
      <w:r>
        <w:rPr>
          <w:rFonts w:ascii="Arial" w:hAnsi="Arial" w:cs="Arial"/>
        </w:rPr>
        <w:t>6</w:t>
      </w:r>
      <w:r w:rsidRPr="00877409">
        <w:rPr>
          <w:rFonts w:ascii="Arial" w:hAnsi="Arial" w:cs="Arial"/>
        </w:rPr>
        <w:t>.</w:t>
      </w:r>
      <w:r>
        <w:rPr>
          <w:rFonts w:ascii="Arial" w:hAnsi="Arial" w:cs="Arial"/>
        </w:rPr>
        <w:t>921</w:t>
      </w:r>
      <w:r w:rsidRPr="00877409">
        <w:rPr>
          <w:rFonts w:ascii="Arial" w:hAnsi="Arial" w:cs="Arial"/>
        </w:rPr>
        <w:t>m against an annual current budget position of £1</w:t>
      </w:r>
      <w:r>
        <w:rPr>
          <w:rFonts w:ascii="Arial" w:hAnsi="Arial" w:cs="Arial"/>
        </w:rPr>
        <w:t>25.563</w:t>
      </w:r>
      <w:r w:rsidRPr="00877409">
        <w:rPr>
          <w:rFonts w:ascii="Arial" w:hAnsi="Arial" w:cs="Arial"/>
        </w:rPr>
        <w:t>m. Adjustments are made on a monthly basis to the forecast income to include all additional income modifications as it is</w:t>
      </w:r>
      <w:r>
        <w:rPr>
          <w:rFonts w:ascii="Arial" w:hAnsi="Arial" w:cs="Arial"/>
        </w:rPr>
        <w:t xml:space="preserve"> notified to the Board. The key</w:t>
      </w:r>
      <w:r w:rsidRPr="00877409">
        <w:rPr>
          <w:rFonts w:ascii="Arial" w:hAnsi="Arial" w:cs="Arial"/>
        </w:rPr>
        <w:t xml:space="preserve"> movements </w:t>
      </w:r>
      <w:r>
        <w:rPr>
          <w:rFonts w:ascii="Arial" w:hAnsi="Arial" w:cs="Arial"/>
        </w:rPr>
        <w:t xml:space="preserve">for January </w:t>
      </w:r>
      <w:r w:rsidRPr="00877409">
        <w:rPr>
          <w:rFonts w:ascii="Arial" w:hAnsi="Arial" w:cs="Arial"/>
        </w:rPr>
        <w:t>are noted below;</w:t>
      </w:r>
    </w:p>
    <w:p w:rsidR="00F64E0F" w:rsidRPr="00877409" w:rsidRDefault="00F64E0F" w:rsidP="00515DFD">
      <w:pPr>
        <w:pStyle w:val="BodyTextIndent3"/>
        <w:jc w:val="left"/>
        <w:rPr>
          <w:rFonts w:ascii="Arial" w:hAnsi="Arial" w:cs="Arial"/>
        </w:rPr>
      </w:pPr>
    </w:p>
    <w:p w:rsidR="00F64E0F" w:rsidRPr="00877409" w:rsidRDefault="00F64E0F" w:rsidP="00515DFD">
      <w:pPr>
        <w:pStyle w:val="BodyTextIndent3"/>
        <w:numPr>
          <w:ilvl w:val="0"/>
          <w:numId w:val="18"/>
        </w:numPr>
        <w:jc w:val="left"/>
        <w:rPr>
          <w:rFonts w:ascii="Arial" w:hAnsi="Arial" w:cs="Arial"/>
        </w:rPr>
      </w:pPr>
      <w:r w:rsidRPr="00877409">
        <w:rPr>
          <w:rFonts w:ascii="Arial" w:hAnsi="Arial" w:cs="Arial"/>
        </w:rPr>
        <w:t>£6</w:t>
      </w:r>
      <w:r>
        <w:rPr>
          <w:rFonts w:ascii="Arial" w:hAnsi="Arial" w:cs="Arial"/>
        </w:rPr>
        <w:t>7</w:t>
      </w:r>
      <w:r w:rsidRPr="00877409">
        <w:rPr>
          <w:rFonts w:ascii="Arial" w:hAnsi="Arial" w:cs="Arial"/>
        </w:rPr>
        <w:t>k</w:t>
      </w:r>
      <w:r>
        <w:rPr>
          <w:rFonts w:ascii="Arial" w:hAnsi="Arial" w:cs="Arial"/>
        </w:rPr>
        <w:t xml:space="preserve"> re-alignment of budget plan in line with forecast plan for non-RRL SLA income. Greater Glasgow &amp; Clyde are not in plan to utilise full Orthopaedic joint activity allocation by 31 March 2017</w:t>
      </w:r>
    </w:p>
    <w:p w:rsidR="00F64E0F" w:rsidRDefault="00F64E0F" w:rsidP="00515DFD">
      <w:pPr>
        <w:pStyle w:val="BodyTextIndent3"/>
        <w:numPr>
          <w:ilvl w:val="0"/>
          <w:numId w:val="18"/>
        </w:numPr>
        <w:jc w:val="left"/>
        <w:rPr>
          <w:rFonts w:ascii="Arial" w:hAnsi="Arial" w:cs="Arial"/>
        </w:rPr>
      </w:pPr>
      <w:r w:rsidRPr="00877409">
        <w:rPr>
          <w:rFonts w:ascii="Arial" w:hAnsi="Arial" w:cs="Arial"/>
        </w:rPr>
        <w:t>£</w:t>
      </w:r>
      <w:r>
        <w:rPr>
          <w:rFonts w:ascii="Arial" w:hAnsi="Arial" w:cs="Arial"/>
        </w:rPr>
        <w:t>37</w:t>
      </w:r>
      <w:r w:rsidRPr="00877409">
        <w:rPr>
          <w:rFonts w:ascii="Arial" w:hAnsi="Arial" w:cs="Arial"/>
        </w:rPr>
        <w:t xml:space="preserve">k in month </w:t>
      </w:r>
      <w:r>
        <w:rPr>
          <w:rFonts w:ascii="Arial" w:hAnsi="Arial" w:cs="Arial"/>
        </w:rPr>
        <w:t>improv</w:t>
      </w:r>
      <w:r w:rsidRPr="00877409">
        <w:rPr>
          <w:rFonts w:ascii="Arial" w:hAnsi="Arial" w:cs="Arial"/>
        </w:rPr>
        <w:t xml:space="preserve">ed performance for </w:t>
      </w:r>
      <w:r>
        <w:rPr>
          <w:rFonts w:ascii="Arial" w:hAnsi="Arial" w:cs="Arial"/>
        </w:rPr>
        <w:t>Non-WoS Thoracic activity procedures</w:t>
      </w:r>
    </w:p>
    <w:p w:rsidR="00F64E0F" w:rsidRDefault="00F64E0F" w:rsidP="00515DFD">
      <w:pPr>
        <w:pStyle w:val="BodyTextIndent3"/>
        <w:numPr>
          <w:ilvl w:val="0"/>
          <w:numId w:val="18"/>
        </w:numPr>
        <w:jc w:val="left"/>
        <w:rPr>
          <w:rFonts w:ascii="Arial" w:hAnsi="Arial" w:cs="Arial"/>
        </w:rPr>
      </w:pPr>
      <w:r w:rsidRPr="00877409">
        <w:rPr>
          <w:rFonts w:ascii="Arial" w:hAnsi="Arial" w:cs="Arial"/>
        </w:rPr>
        <w:t>£</w:t>
      </w:r>
      <w:r>
        <w:rPr>
          <w:rFonts w:ascii="Arial" w:hAnsi="Arial" w:cs="Arial"/>
        </w:rPr>
        <w:t>44</w:t>
      </w:r>
      <w:r w:rsidRPr="00877409">
        <w:rPr>
          <w:rFonts w:ascii="Arial" w:hAnsi="Arial" w:cs="Arial"/>
        </w:rPr>
        <w:t xml:space="preserve">k in month </w:t>
      </w:r>
      <w:r>
        <w:rPr>
          <w:rFonts w:ascii="Arial" w:hAnsi="Arial" w:cs="Arial"/>
        </w:rPr>
        <w:t>improv</w:t>
      </w:r>
      <w:r w:rsidRPr="00877409">
        <w:rPr>
          <w:rFonts w:ascii="Arial" w:hAnsi="Arial" w:cs="Arial"/>
        </w:rPr>
        <w:t xml:space="preserve">ed performance for </w:t>
      </w:r>
      <w:r>
        <w:rPr>
          <w:rFonts w:ascii="Arial" w:hAnsi="Arial" w:cs="Arial"/>
        </w:rPr>
        <w:t>Non-WoS Cardiology activity procedures</w:t>
      </w:r>
    </w:p>
    <w:p w:rsidR="00F64E0F" w:rsidRPr="00877409" w:rsidRDefault="00F64E0F" w:rsidP="00515DFD">
      <w:pPr>
        <w:pStyle w:val="BodyTextIndent3"/>
        <w:jc w:val="left"/>
        <w:rPr>
          <w:rFonts w:ascii="Arial" w:hAnsi="Arial" w:cs="Arial"/>
          <w:sz w:val="16"/>
          <w:szCs w:val="16"/>
        </w:rPr>
      </w:pPr>
    </w:p>
    <w:p w:rsidR="00F64E0F" w:rsidRPr="00877409" w:rsidRDefault="00F64E0F" w:rsidP="00515DFD">
      <w:pPr>
        <w:pStyle w:val="BodyTextIndent3"/>
        <w:jc w:val="left"/>
        <w:rPr>
          <w:rFonts w:ascii="Arial" w:hAnsi="Arial" w:cs="Arial"/>
        </w:rPr>
      </w:pPr>
      <w:r w:rsidRPr="00877409">
        <w:rPr>
          <w:rFonts w:ascii="Arial" w:hAnsi="Arial" w:cs="Arial"/>
        </w:rPr>
        <w:t xml:space="preserve">Total non-core funding for year-end is forecast at £6.786m against an annual budget of £6.786m, and therefore there is no movement on the forecast to plan at this stage.  </w:t>
      </w:r>
    </w:p>
    <w:p w:rsidR="00F64E0F" w:rsidRPr="00877409" w:rsidRDefault="00F64E0F" w:rsidP="00515DFD">
      <w:pPr>
        <w:pStyle w:val="BodyTextIndent3"/>
        <w:ind w:left="0"/>
        <w:jc w:val="left"/>
        <w:rPr>
          <w:rFonts w:ascii="Arial" w:hAnsi="Arial" w:cs="Arial"/>
          <w:sz w:val="16"/>
          <w:szCs w:val="16"/>
        </w:rPr>
      </w:pPr>
    </w:p>
    <w:p w:rsidR="00F64E0F" w:rsidRPr="00877409" w:rsidRDefault="00F64E0F" w:rsidP="00515DFD">
      <w:pPr>
        <w:pStyle w:val="BodyTextIndent3"/>
        <w:jc w:val="left"/>
        <w:rPr>
          <w:rFonts w:ascii="Arial" w:hAnsi="Arial" w:cs="Arial"/>
        </w:rPr>
      </w:pPr>
      <w:r w:rsidRPr="00877409">
        <w:rPr>
          <w:rFonts w:ascii="Arial" w:hAnsi="Arial" w:cs="Arial"/>
        </w:rPr>
        <w:t xml:space="preserve">The base Revenue Resource Limit (RRL) is detailed below along with additional allocations, which have been advised to the Board to date.  Further adjustments to the RRL will be brought back to future meetings.  </w:t>
      </w:r>
    </w:p>
    <w:p w:rsidR="00F64E0F" w:rsidRDefault="00F64E0F" w:rsidP="00515DFD">
      <w:pPr>
        <w:pStyle w:val="BodyTextIndent3"/>
        <w:ind w:left="0"/>
        <w:jc w:val="left"/>
        <w:rPr>
          <w:rFonts w:ascii="Arial" w:hAnsi="Arial" w:cs="Arial"/>
        </w:rPr>
      </w:pPr>
    </w:p>
    <w:p w:rsidR="00F64E0F" w:rsidRPr="00877409" w:rsidRDefault="00F64E0F" w:rsidP="00515DFD">
      <w:pPr>
        <w:pStyle w:val="BodyTextIndent3"/>
        <w:ind w:left="0"/>
        <w:jc w:val="left"/>
        <w:rPr>
          <w:rFonts w:ascii="Arial" w:hAnsi="Arial" w:cs="Arial"/>
        </w:rPr>
      </w:pPr>
    </w:p>
    <w:tbl>
      <w:tblPr>
        <w:tblW w:w="6800" w:type="dxa"/>
        <w:tblInd w:w="93" w:type="dxa"/>
        <w:tblLook w:val="04A0"/>
      </w:tblPr>
      <w:tblGrid>
        <w:gridCol w:w="2040"/>
        <w:gridCol w:w="1420"/>
        <w:gridCol w:w="1960"/>
        <w:gridCol w:w="1380"/>
      </w:tblGrid>
      <w:tr w:rsidR="00F64E0F" w:rsidRPr="00C1345D" w:rsidTr="00FA2B08">
        <w:trPr>
          <w:trHeight w:val="1260"/>
        </w:trPr>
        <w:tc>
          <w:tcPr>
            <w:tcW w:w="204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r w:rsidRPr="00C1345D">
              <w:rPr>
                <w:rFonts w:ascii="Arial" w:hAnsi="Arial" w:cs="Arial"/>
                <w:b/>
                <w:bCs/>
                <w:color w:val="000000"/>
                <w:lang w:eastAsia="en-GB"/>
              </w:rPr>
              <w:t>Core Revenue Allocation</w:t>
            </w:r>
          </w:p>
        </w:tc>
        <w:tc>
          <w:tcPr>
            <w:tcW w:w="142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r w:rsidRPr="00C1345D">
              <w:rPr>
                <w:rFonts w:ascii="Arial" w:hAnsi="Arial" w:cs="Arial"/>
                <w:b/>
                <w:bCs/>
                <w:color w:val="000000"/>
                <w:lang w:eastAsia="en-GB"/>
              </w:rPr>
              <w:t>Included  in Strategic plan</w:t>
            </w:r>
          </w:p>
        </w:tc>
        <w:tc>
          <w:tcPr>
            <w:tcW w:w="196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p>
        </w:tc>
        <w:tc>
          <w:tcPr>
            <w:tcW w:w="138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r w:rsidRPr="00C1345D">
              <w:rPr>
                <w:rFonts w:ascii="Arial" w:hAnsi="Arial" w:cs="Arial"/>
                <w:b/>
                <w:bCs/>
                <w:color w:val="000000"/>
                <w:lang w:eastAsia="en-GB"/>
              </w:rPr>
              <w:t>£67.986m</w:t>
            </w:r>
          </w:p>
        </w:tc>
      </w:tr>
      <w:tr w:rsidR="00F64E0F" w:rsidRPr="00C1345D" w:rsidTr="00FA2B08">
        <w:trPr>
          <w:trHeight w:val="300"/>
        </w:trPr>
        <w:tc>
          <w:tcPr>
            <w:tcW w:w="2040" w:type="dxa"/>
            <w:tcBorders>
              <w:top w:val="nil"/>
              <w:left w:val="nil"/>
              <w:bottom w:val="nil"/>
              <w:right w:val="nil"/>
            </w:tcBorders>
            <w:shd w:val="clear" w:color="auto" w:fill="auto"/>
            <w:hideMark/>
          </w:tcPr>
          <w:p w:rsidR="00F64E0F" w:rsidRPr="00C1345D" w:rsidRDefault="00F64E0F" w:rsidP="00515DFD">
            <w:pPr>
              <w:rPr>
                <w:rFonts w:ascii="Arial" w:hAnsi="Arial" w:cs="Arial"/>
                <w:color w:val="000000"/>
                <w:lang w:eastAsia="en-GB"/>
              </w:rPr>
            </w:pPr>
            <w:r w:rsidRPr="00C1345D">
              <w:rPr>
                <w:rFonts w:ascii="Arial" w:hAnsi="Arial" w:cs="Arial"/>
                <w:color w:val="000000"/>
                <w:lang w:eastAsia="en-GB"/>
              </w:rPr>
              <w:t>Elective Centres</w:t>
            </w:r>
          </w:p>
        </w:tc>
        <w:tc>
          <w:tcPr>
            <w:tcW w:w="1420" w:type="dxa"/>
            <w:tcBorders>
              <w:top w:val="nil"/>
              <w:left w:val="nil"/>
              <w:bottom w:val="nil"/>
              <w:right w:val="nil"/>
            </w:tcBorders>
            <w:shd w:val="clear" w:color="auto" w:fill="auto"/>
            <w:hideMark/>
          </w:tcPr>
          <w:p w:rsidR="00F64E0F" w:rsidRPr="00C1345D" w:rsidRDefault="00F64E0F" w:rsidP="00515DFD">
            <w:pPr>
              <w:rPr>
                <w:rFonts w:ascii="Arial" w:hAnsi="Arial" w:cs="Arial"/>
                <w:color w:val="000000"/>
                <w:lang w:eastAsia="en-GB"/>
              </w:rPr>
            </w:pPr>
            <w:r w:rsidRPr="00C1345D">
              <w:rPr>
                <w:rFonts w:ascii="Arial" w:hAnsi="Arial" w:cs="Arial"/>
                <w:color w:val="000000"/>
                <w:lang w:eastAsia="en-GB"/>
              </w:rPr>
              <w:t>No</w:t>
            </w:r>
          </w:p>
        </w:tc>
        <w:tc>
          <w:tcPr>
            <w:tcW w:w="1960" w:type="dxa"/>
            <w:tcBorders>
              <w:top w:val="nil"/>
              <w:left w:val="nil"/>
              <w:bottom w:val="nil"/>
              <w:right w:val="nil"/>
            </w:tcBorders>
            <w:shd w:val="clear" w:color="auto" w:fill="auto"/>
            <w:hideMark/>
          </w:tcPr>
          <w:p w:rsidR="00F64E0F" w:rsidRPr="00C1345D" w:rsidRDefault="00F64E0F" w:rsidP="00515DFD">
            <w:pPr>
              <w:rPr>
                <w:rFonts w:ascii="Arial" w:hAnsi="Arial" w:cs="Arial"/>
                <w:color w:val="000000"/>
                <w:lang w:eastAsia="en-GB"/>
              </w:rPr>
            </w:pPr>
            <w:r w:rsidRPr="00C1345D">
              <w:rPr>
                <w:rFonts w:ascii="Arial" w:hAnsi="Arial" w:cs="Arial"/>
                <w:color w:val="000000"/>
                <w:lang w:eastAsia="en-GB"/>
              </w:rPr>
              <w:t>Non-Recurring</w:t>
            </w:r>
          </w:p>
        </w:tc>
        <w:tc>
          <w:tcPr>
            <w:tcW w:w="1380" w:type="dxa"/>
            <w:tcBorders>
              <w:top w:val="nil"/>
              <w:left w:val="nil"/>
              <w:bottom w:val="nil"/>
              <w:right w:val="nil"/>
            </w:tcBorders>
            <w:shd w:val="clear" w:color="auto" w:fill="auto"/>
            <w:hideMark/>
          </w:tcPr>
          <w:p w:rsidR="00F64E0F" w:rsidRPr="00C1345D" w:rsidRDefault="00F64E0F" w:rsidP="00515DFD">
            <w:pPr>
              <w:rPr>
                <w:rFonts w:ascii="Arial" w:hAnsi="Arial" w:cs="Arial"/>
                <w:lang w:eastAsia="en-GB"/>
              </w:rPr>
            </w:pPr>
            <w:r w:rsidRPr="00C1345D">
              <w:rPr>
                <w:rFonts w:ascii="Arial" w:hAnsi="Arial" w:cs="Arial"/>
                <w:lang w:eastAsia="en-GB"/>
              </w:rPr>
              <w:t>(£0.250)</w:t>
            </w:r>
          </w:p>
        </w:tc>
      </w:tr>
      <w:tr w:rsidR="00F64E0F" w:rsidRPr="00C1345D" w:rsidTr="00FA2B08">
        <w:trPr>
          <w:trHeight w:val="600"/>
        </w:trPr>
        <w:tc>
          <w:tcPr>
            <w:tcW w:w="2040" w:type="dxa"/>
            <w:tcBorders>
              <w:top w:val="nil"/>
              <w:left w:val="nil"/>
              <w:bottom w:val="nil"/>
              <w:right w:val="nil"/>
            </w:tcBorders>
            <w:shd w:val="clear" w:color="auto" w:fill="auto"/>
            <w:hideMark/>
          </w:tcPr>
          <w:p w:rsidR="00F64E0F" w:rsidRPr="00C1345D" w:rsidRDefault="00F64E0F" w:rsidP="00515DFD">
            <w:pPr>
              <w:rPr>
                <w:rFonts w:ascii="Arial" w:hAnsi="Arial" w:cs="Arial"/>
                <w:color w:val="000000"/>
                <w:lang w:eastAsia="en-GB"/>
              </w:rPr>
            </w:pPr>
            <w:r w:rsidRPr="00C1345D">
              <w:rPr>
                <w:rFonts w:ascii="Arial" w:hAnsi="Arial" w:cs="Arial"/>
                <w:color w:val="000000"/>
                <w:lang w:eastAsia="en-GB"/>
              </w:rPr>
              <w:t>Infrastructure support</w:t>
            </w:r>
          </w:p>
        </w:tc>
        <w:tc>
          <w:tcPr>
            <w:tcW w:w="1420" w:type="dxa"/>
            <w:tcBorders>
              <w:top w:val="nil"/>
              <w:left w:val="nil"/>
              <w:bottom w:val="nil"/>
              <w:right w:val="nil"/>
            </w:tcBorders>
            <w:shd w:val="clear" w:color="auto" w:fill="auto"/>
            <w:hideMark/>
          </w:tcPr>
          <w:p w:rsidR="00F64E0F" w:rsidRPr="00C1345D" w:rsidRDefault="00F64E0F" w:rsidP="00515DFD">
            <w:pPr>
              <w:rPr>
                <w:rFonts w:ascii="Arial" w:hAnsi="Arial" w:cs="Arial"/>
                <w:color w:val="000000"/>
                <w:lang w:eastAsia="en-GB"/>
              </w:rPr>
            </w:pPr>
            <w:r w:rsidRPr="00C1345D">
              <w:rPr>
                <w:rFonts w:ascii="Arial" w:hAnsi="Arial" w:cs="Arial"/>
                <w:color w:val="000000"/>
                <w:lang w:eastAsia="en-GB"/>
              </w:rPr>
              <w:t>No</w:t>
            </w:r>
          </w:p>
        </w:tc>
        <w:tc>
          <w:tcPr>
            <w:tcW w:w="1960" w:type="dxa"/>
            <w:tcBorders>
              <w:top w:val="nil"/>
              <w:left w:val="nil"/>
              <w:bottom w:val="nil"/>
              <w:right w:val="nil"/>
            </w:tcBorders>
            <w:shd w:val="clear" w:color="auto" w:fill="auto"/>
            <w:hideMark/>
          </w:tcPr>
          <w:p w:rsidR="00F64E0F" w:rsidRPr="00C1345D" w:rsidRDefault="00F64E0F" w:rsidP="00515DFD">
            <w:pPr>
              <w:rPr>
                <w:rFonts w:ascii="Arial" w:hAnsi="Arial" w:cs="Arial"/>
                <w:color w:val="000000"/>
                <w:lang w:eastAsia="en-GB"/>
              </w:rPr>
            </w:pPr>
            <w:r w:rsidRPr="00C1345D">
              <w:rPr>
                <w:rFonts w:ascii="Arial" w:hAnsi="Arial" w:cs="Arial"/>
                <w:color w:val="000000"/>
                <w:lang w:eastAsia="en-GB"/>
              </w:rPr>
              <w:t>Non-Recurring</w:t>
            </w:r>
          </w:p>
        </w:tc>
        <w:tc>
          <w:tcPr>
            <w:tcW w:w="1380" w:type="dxa"/>
            <w:tcBorders>
              <w:top w:val="nil"/>
              <w:left w:val="nil"/>
              <w:bottom w:val="nil"/>
              <w:right w:val="nil"/>
            </w:tcBorders>
            <w:shd w:val="clear" w:color="auto" w:fill="auto"/>
            <w:hideMark/>
          </w:tcPr>
          <w:p w:rsidR="00F64E0F" w:rsidRPr="00C1345D" w:rsidRDefault="00F64E0F" w:rsidP="00515DFD">
            <w:pPr>
              <w:rPr>
                <w:rFonts w:ascii="Arial" w:hAnsi="Arial" w:cs="Arial"/>
                <w:lang w:eastAsia="en-GB"/>
              </w:rPr>
            </w:pPr>
            <w:r w:rsidRPr="00C1345D">
              <w:rPr>
                <w:rFonts w:ascii="Arial" w:hAnsi="Arial" w:cs="Arial"/>
                <w:lang w:eastAsia="en-GB"/>
              </w:rPr>
              <w:t>(£2.256)</w:t>
            </w:r>
          </w:p>
        </w:tc>
      </w:tr>
      <w:tr w:rsidR="00F64E0F" w:rsidRPr="00C1345D" w:rsidTr="00FA2B08">
        <w:trPr>
          <w:trHeight w:val="945"/>
        </w:trPr>
        <w:tc>
          <w:tcPr>
            <w:tcW w:w="204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r w:rsidRPr="00C1345D">
              <w:rPr>
                <w:rFonts w:ascii="Arial" w:hAnsi="Arial" w:cs="Arial"/>
                <w:b/>
                <w:bCs/>
                <w:color w:val="000000"/>
                <w:lang w:eastAsia="en-GB"/>
              </w:rPr>
              <w:lastRenderedPageBreak/>
              <w:t>Core Allocation as at January 2017</w:t>
            </w:r>
          </w:p>
        </w:tc>
        <w:tc>
          <w:tcPr>
            <w:tcW w:w="142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p>
        </w:tc>
        <w:tc>
          <w:tcPr>
            <w:tcW w:w="196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p>
        </w:tc>
        <w:tc>
          <w:tcPr>
            <w:tcW w:w="138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r w:rsidRPr="00C1345D">
              <w:rPr>
                <w:rFonts w:ascii="Arial" w:hAnsi="Arial" w:cs="Arial"/>
                <w:b/>
                <w:bCs/>
                <w:color w:val="000000"/>
                <w:lang w:eastAsia="en-GB"/>
              </w:rPr>
              <w:t>£65.480m</w:t>
            </w:r>
          </w:p>
        </w:tc>
      </w:tr>
      <w:tr w:rsidR="00F64E0F" w:rsidRPr="00C1345D" w:rsidTr="00FA2B08">
        <w:trPr>
          <w:trHeight w:val="300"/>
        </w:trPr>
        <w:tc>
          <w:tcPr>
            <w:tcW w:w="2040" w:type="dxa"/>
            <w:tcBorders>
              <w:top w:val="nil"/>
              <w:left w:val="nil"/>
              <w:bottom w:val="nil"/>
              <w:right w:val="nil"/>
            </w:tcBorders>
            <w:shd w:val="clear" w:color="auto" w:fill="auto"/>
            <w:noWrap/>
            <w:vAlign w:val="bottom"/>
            <w:hideMark/>
          </w:tcPr>
          <w:p w:rsidR="00F64E0F" w:rsidRPr="00C1345D" w:rsidRDefault="00F64E0F" w:rsidP="00515DFD">
            <w:pPr>
              <w:rPr>
                <w:rFonts w:ascii="Calibri" w:hAnsi="Calibri" w:cs="Calibri"/>
                <w:color w:val="000000"/>
                <w:lang w:eastAsia="en-GB"/>
              </w:rPr>
            </w:pPr>
          </w:p>
        </w:tc>
        <w:tc>
          <w:tcPr>
            <w:tcW w:w="1420" w:type="dxa"/>
            <w:tcBorders>
              <w:top w:val="nil"/>
              <w:left w:val="nil"/>
              <w:bottom w:val="nil"/>
              <w:right w:val="nil"/>
            </w:tcBorders>
            <w:shd w:val="clear" w:color="auto" w:fill="auto"/>
            <w:noWrap/>
            <w:vAlign w:val="bottom"/>
            <w:hideMark/>
          </w:tcPr>
          <w:p w:rsidR="00F64E0F" w:rsidRPr="00C1345D" w:rsidRDefault="00F64E0F" w:rsidP="00515DFD">
            <w:pPr>
              <w:rPr>
                <w:rFonts w:ascii="Calibri" w:hAnsi="Calibri" w:cs="Calibri"/>
                <w:color w:val="000000"/>
                <w:lang w:eastAsia="en-GB"/>
              </w:rPr>
            </w:pPr>
          </w:p>
        </w:tc>
        <w:tc>
          <w:tcPr>
            <w:tcW w:w="1960" w:type="dxa"/>
            <w:tcBorders>
              <w:top w:val="nil"/>
              <w:left w:val="nil"/>
              <w:bottom w:val="nil"/>
              <w:right w:val="nil"/>
            </w:tcBorders>
            <w:shd w:val="clear" w:color="auto" w:fill="auto"/>
            <w:noWrap/>
            <w:vAlign w:val="bottom"/>
            <w:hideMark/>
          </w:tcPr>
          <w:p w:rsidR="00F64E0F" w:rsidRPr="00C1345D" w:rsidRDefault="00F64E0F" w:rsidP="00515DFD">
            <w:pPr>
              <w:rPr>
                <w:rFonts w:ascii="Calibri" w:hAnsi="Calibri" w:cs="Calibri"/>
                <w:color w:val="000000"/>
                <w:lang w:eastAsia="en-GB"/>
              </w:rPr>
            </w:pPr>
          </w:p>
        </w:tc>
        <w:tc>
          <w:tcPr>
            <w:tcW w:w="1380" w:type="dxa"/>
            <w:tcBorders>
              <w:top w:val="nil"/>
              <w:left w:val="nil"/>
              <w:bottom w:val="nil"/>
              <w:right w:val="nil"/>
            </w:tcBorders>
            <w:shd w:val="clear" w:color="auto" w:fill="auto"/>
            <w:noWrap/>
            <w:vAlign w:val="bottom"/>
            <w:hideMark/>
          </w:tcPr>
          <w:p w:rsidR="00F64E0F" w:rsidRPr="00C1345D" w:rsidRDefault="00F64E0F" w:rsidP="00515DFD">
            <w:pPr>
              <w:rPr>
                <w:rFonts w:ascii="Calibri" w:hAnsi="Calibri" w:cs="Calibri"/>
                <w:color w:val="000000"/>
                <w:lang w:eastAsia="en-GB"/>
              </w:rPr>
            </w:pPr>
          </w:p>
        </w:tc>
      </w:tr>
      <w:tr w:rsidR="00F64E0F" w:rsidRPr="00C1345D" w:rsidTr="00FA2B08">
        <w:trPr>
          <w:trHeight w:val="945"/>
        </w:trPr>
        <w:tc>
          <w:tcPr>
            <w:tcW w:w="204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r w:rsidRPr="00C1345D">
              <w:rPr>
                <w:rFonts w:ascii="Arial" w:hAnsi="Arial" w:cs="Arial"/>
                <w:b/>
                <w:bCs/>
                <w:color w:val="000000"/>
                <w:lang w:eastAsia="en-GB"/>
              </w:rPr>
              <w:t>Non-core allocation as Strategic plan</w:t>
            </w:r>
          </w:p>
        </w:tc>
        <w:tc>
          <w:tcPr>
            <w:tcW w:w="142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p>
        </w:tc>
        <w:tc>
          <w:tcPr>
            <w:tcW w:w="196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p>
        </w:tc>
        <w:tc>
          <w:tcPr>
            <w:tcW w:w="138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r w:rsidRPr="00C1345D">
              <w:rPr>
                <w:rFonts w:ascii="Arial" w:hAnsi="Arial" w:cs="Arial"/>
                <w:b/>
                <w:bCs/>
                <w:color w:val="000000"/>
                <w:lang w:eastAsia="en-GB"/>
              </w:rPr>
              <w:t>£6.486m</w:t>
            </w:r>
          </w:p>
        </w:tc>
      </w:tr>
      <w:tr w:rsidR="00F64E0F" w:rsidRPr="00C1345D" w:rsidTr="00FA2B08">
        <w:trPr>
          <w:trHeight w:val="315"/>
        </w:trPr>
        <w:tc>
          <w:tcPr>
            <w:tcW w:w="2040" w:type="dxa"/>
            <w:tcBorders>
              <w:top w:val="nil"/>
              <w:left w:val="nil"/>
              <w:bottom w:val="nil"/>
              <w:right w:val="nil"/>
            </w:tcBorders>
            <w:shd w:val="clear" w:color="auto" w:fill="auto"/>
            <w:hideMark/>
          </w:tcPr>
          <w:p w:rsidR="00F64E0F" w:rsidRPr="00C1345D" w:rsidRDefault="00F64E0F" w:rsidP="00515DFD">
            <w:pPr>
              <w:rPr>
                <w:rFonts w:ascii="Arial" w:hAnsi="Arial" w:cs="Arial"/>
                <w:color w:val="000000"/>
                <w:lang w:eastAsia="en-GB"/>
              </w:rPr>
            </w:pPr>
            <w:r w:rsidRPr="00C1345D">
              <w:rPr>
                <w:rFonts w:ascii="Arial" w:hAnsi="Arial" w:cs="Arial"/>
                <w:bCs/>
                <w:color w:val="000000"/>
                <w:lang w:eastAsia="en-GB"/>
              </w:rPr>
              <w:t>No adjustments</w:t>
            </w:r>
          </w:p>
        </w:tc>
        <w:tc>
          <w:tcPr>
            <w:tcW w:w="142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p>
        </w:tc>
        <w:tc>
          <w:tcPr>
            <w:tcW w:w="196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p>
        </w:tc>
        <w:tc>
          <w:tcPr>
            <w:tcW w:w="1380" w:type="dxa"/>
            <w:tcBorders>
              <w:top w:val="nil"/>
              <w:left w:val="nil"/>
              <w:bottom w:val="nil"/>
              <w:right w:val="nil"/>
            </w:tcBorders>
            <w:shd w:val="clear" w:color="auto" w:fill="auto"/>
            <w:hideMark/>
          </w:tcPr>
          <w:p w:rsidR="00F64E0F" w:rsidRPr="00C1345D" w:rsidRDefault="00F64E0F" w:rsidP="00515DFD">
            <w:pPr>
              <w:rPr>
                <w:rFonts w:ascii="Arial" w:hAnsi="Arial" w:cs="Arial"/>
                <w:color w:val="000000"/>
                <w:lang w:eastAsia="en-GB"/>
              </w:rPr>
            </w:pPr>
            <w:r w:rsidRPr="00C1345D">
              <w:rPr>
                <w:rFonts w:ascii="Arial" w:hAnsi="Arial" w:cs="Arial"/>
                <w:bCs/>
                <w:color w:val="000000"/>
                <w:lang w:eastAsia="en-GB"/>
              </w:rPr>
              <w:t>£0</w:t>
            </w:r>
          </w:p>
        </w:tc>
      </w:tr>
      <w:tr w:rsidR="00F64E0F" w:rsidRPr="00C1345D" w:rsidTr="00FA2B08">
        <w:trPr>
          <w:trHeight w:val="945"/>
        </w:trPr>
        <w:tc>
          <w:tcPr>
            <w:tcW w:w="204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r w:rsidRPr="00C1345D">
              <w:rPr>
                <w:rFonts w:ascii="Arial" w:hAnsi="Arial" w:cs="Arial"/>
                <w:b/>
                <w:bCs/>
                <w:color w:val="000000"/>
                <w:lang w:eastAsia="en-GB"/>
              </w:rPr>
              <w:t>Non-core allocation as at January 2017</w:t>
            </w:r>
          </w:p>
        </w:tc>
        <w:tc>
          <w:tcPr>
            <w:tcW w:w="142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p>
        </w:tc>
        <w:tc>
          <w:tcPr>
            <w:tcW w:w="196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p>
        </w:tc>
        <w:tc>
          <w:tcPr>
            <w:tcW w:w="138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r w:rsidRPr="00C1345D">
              <w:rPr>
                <w:rFonts w:ascii="Arial" w:hAnsi="Arial" w:cs="Arial"/>
                <w:b/>
                <w:bCs/>
                <w:color w:val="000000"/>
                <w:lang w:eastAsia="en-GB"/>
              </w:rPr>
              <w:t>£6.486m</w:t>
            </w:r>
          </w:p>
        </w:tc>
      </w:tr>
      <w:tr w:rsidR="00F64E0F" w:rsidRPr="00C1345D" w:rsidTr="00FA2B08">
        <w:trPr>
          <w:trHeight w:val="630"/>
        </w:trPr>
        <w:tc>
          <w:tcPr>
            <w:tcW w:w="204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r w:rsidRPr="00C1345D">
              <w:rPr>
                <w:rFonts w:ascii="Arial" w:hAnsi="Arial" w:cs="Arial"/>
                <w:b/>
                <w:bCs/>
                <w:color w:val="000000"/>
                <w:lang w:eastAsia="en-GB"/>
              </w:rPr>
              <w:t>Total Available Funding</w:t>
            </w:r>
          </w:p>
        </w:tc>
        <w:tc>
          <w:tcPr>
            <w:tcW w:w="142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p>
        </w:tc>
        <w:tc>
          <w:tcPr>
            <w:tcW w:w="196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p>
        </w:tc>
        <w:tc>
          <w:tcPr>
            <w:tcW w:w="1380" w:type="dxa"/>
            <w:tcBorders>
              <w:top w:val="nil"/>
              <w:left w:val="nil"/>
              <w:bottom w:val="nil"/>
              <w:right w:val="nil"/>
            </w:tcBorders>
            <w:shd w:val="clear" w:color="auto" w:fill="auto"/>
            <w:hideMark/>
          </w:tcPr>
          <w:p w:rsidR="00F64E0F" w:rsidRPr="00C1345D" w:rsidRDefault="00F64E0F" w:rsidP="00515DFD">
            <w:pPr>
              <w:rPr>
                <w:rFonts w:ascii="Arial" w:hAnsi="Arial" w:cs="Arial"/>
                <w:b/>
                <w:bCs/>
                <w:color w:val="000000"/>
                <w:lang w:eastAsia="en-GB"/>
              </w:rPr>
            </w:pPr>
            <w:r w:rsidRPr="00C1345D">
              <w:rPr>
                <w:rFonts w:ascii="Arial" w:hAnsi="Arial" w:cs="Arial"/>
                <w:b/>
                <w:bCs/>
                <w:color w:val="000000"/>
                <w:lang w:eastAsia="en-GB"/>
              </w:rPr>
              <w:t>£71.97m</w:t>
            </w:r>
          </w:p>
        </w:tc>
      </w:tr>
    </w:tbl>
    <w:p w:rsidR="00F64E0F" w:rsidRDefault="00F64E0F" w:rsidP="00515DFD">
      <w:pPr>
        <w:rPr>
          <w:rFonts w:ascii="Arial" w:hAnsi="Arial" w:cs="Arial"/>
          <w:bCs/>
          <w:i/>
          <w:iCs/>
        </w:rPr>
      </w:pPr>
    </w:p>
    <w:p w:rsidR="00515DFD" w:rsidRPr="007F4D4E" w:rsidRDefault="00515DFD" w:rsidP="00515DFD">
      <w:pPr>
        <w:rPr>
          <w:rFonts w:ascii="Arial" w:hAnsi="Arial" w:cs="Arial"/>
          <w:bCs/>
          <w:i/>
          <w:iCs/>
        </w:rPr>
      </w:pPr>
    </w:p>
    <w:p w:rsidR="00F64E0F" w:rsidRPr="00EE0804" w:rsidRDefault="00F64E0F" w:rsidP="00515DFD">
      <w:pPr>
        <w:numPr>
          <w:ilvl w:val="0"/>
          <w:numId w:val="5"/>
        </w:numPr>
        <w:tabs>
          <w:tab w:val="clear" w:pos="720"/>
          <w:tab w:val="num" w:pos="360"/>
        </w:tabs>
        <w:rPr>
          <w:rFonts w:ascii="Arial" w:hAnsi="Arial" w:cs="Arial"/>
          <w:b/>
          <w:bCs/>
          <w:iCs/>
        </w:rPr>
      </w:pPr>
      <w:r w:rsidRPr="00136F19">
        <w:rPr>
          <w:rFonts w:ascii="Arial" w:hAnsi="Arial" w:cs="Arial"/>
          <w:b/>
          <w:bCs/>
          <w:iCs/>
        </w:rPr>
        <w:t>Review of Expenditure B</w:t>
      </w:r>
      <w:r>
        <w:rPr>
          <w:rFonts w:ascii="Arial" w:hAnsi="Arial" w:cs="Arial"/>
          <w:b/>
          <w:bCs/>
          <w:iCs/>
        </w:rPr>
        <w:t>udget</w:t>
      </w:r>
    </w:p>
    <w:p w:rsidR="00F64E0F" w:rsidRPr="00EE0804" w:rsidRDefault="00F64E0F" w:rsidP="00515DFD">
      <w:pPr>
        <w:pStyle w:val="BodyTextIndent"/>
        <w:ind w:left="0"/>
        <w:rPr>
          <w:rFonts w:ascii="Arial" w:hAnsi="Arial" w:cs="Arial"/>
          <w:b/>
          <w:iCs w:val="0"/>
        </w:rPr>
      </w:pPr>
    </w:p>
    <w:p w:rsidR="00F64E0F" w:rsidRPr="009A5612" w:rsidRDefault="00F64E0F" w:rsidP="00515DFD">
      <w:pPr>
        <w:pStyle w:val="BodyTextIndent"/>
        <w:rPr>
          <w:rFonts w:ascii="Arial" w:hAnsi="Arial" w:cs="Arial"/>
          <w:b/>
          <w:iCs w:val="0"/>
        </w:rPr>
      </w:pPr>
      <w:r w:rsidRPr="009A5612">
        <w:rPr>
          <w:rFonts w:ascii="Arial" w:hAnsi="Arial" w:cs="Arial"/>
          <w:b/>
          <w:iCs w:val="0"/>
        </w:rPr>
        <w:t>Introduction</w:t>
      </w:r>
    </w:p>
    <w:p w:rsidR="00F64E0F" w:rsidRPr="009A5612" w:rsidRDefault="00F64E0F" w:rsidP="00515DFD">
      <w:pPr>
        <w:pStyle w:val="BodyTextIndent"/>
        <w:rPr>
          <w:rFonts w:ascii="Arial" w:hAnsi="Arial" w:cs="Arial"/>
          <w:iCs w:val="0"/>
        </w:rPr>
      </w:pPr>
      <w:r w:rsidRPr="009A5612">
        <w:rPr>
          <w:rFonts w:ascii="Arial" w:hAnsi="Arial" w:cs="Arial"/>
          <w:iCs w:val="0"/>
        </w:rPr>
        <w:t>This is now summarised in detail at Appendix 1 – page 3.  A brief description of what has been included in each of the headings is shown below:</w:t>
      </w:r>
    </w:p>
    <w:p w:rsidR="00F64E0F" w:rsidRPr="009A5612" w:rsidRDefault="00F64E0F" w:rsidP="00515DFD">
      <w:pPr>
        <w:pStyle w:val="BodyTextIndent"/>
        <w:rPr>
          <w:rFonts w:ascii="Arial" w:hAnsi="Arial" w:cs="Arial"/>
          <w:iCs w:val="0"/>
        </w:rPr>
      </w:pPr>
    </w:p>
    <w:p w:rsidR="00F64E0F" w:rsidRPr="009A5612" w:rsidRDefault="00F64E0F" w:rsidP="00515DFD">
      <w:pPr>
        <w:pStyle w:val="BodyTextIndent"/>
        <w:numPr>
          <w:ilvl w:val="0"/>
          <w:numId w:val="6"/>
        </w:numPr>
        <w:rPr>
          <w:rFonts w:ascii="Arial" w:hAnsi="Arial" w:cs="Arial"/>
          <w:iCs w:val="0"/>
        </w:rPr>
      </w:pPr>
      <w:r w:rsidRPr="009A5612">
        <w:rPr>
          <w:rFonts w:ascii="Arial" w:hAnsi="Arial" w:cs="Arial"/>
          <w:b/>
          <w:iCs w:val="0"/>
        </w:rPr>
        <w:t>Staff costs</w:t>
      </w:r>
      <w:r w:rsidRPr="009A5612">
        <w:rPr>
          <w:rFonts w:ascii="Arial" w:hAnsi="Arial" w:cs="Arial"/>
          <w:iCs w:val="0"/>
        </w:rPr>
        <w:t xml:space="preserve"> – this is as per prior year with each sub-heading including what is in the main descriptor;</w:t>
      </w:r>
    </w:p>
    <w:p w:rsidR="00F64E0F" w:rsidRPr="009A5612" w:rsidRDefault="00F64E0F" w:rsidP="00515DFD">
      <w:pPr>
        <w:pStyle w:val="BodyTextIndent"/>
        <w:numPr>
          <w:ilvl w:val="0"/>
          <w:numId w:val="6"/>
        </w:numPr>
        <w:rPr>
          <w:rFonts w:ascii="Arial" w:hAnsi="Arial" w:cs="Arial"/>
          <w:iCs w:val="0"/>
        </w:rPr>
      </w:pPr>
      <w:r w:rsidRPr="009A5612">
        <w:rPr>
          <w:rFonts w:ascii="Arial" w:hAnsi="Arial" w:cs="Arial"/>
          <w:b/>
          <w:iCs w:val="0"/>
        </w:rPr>
        <w:t>Supplies – Clinical</w:t>
      </w:r>
      <w:r w:rsidRPr="009A5612">
        <w:rPr>
          <w:rFonts w:ascii="Arial" w:hAnsi="Arial" w:cs="Arial"/>
          <w:iCs w:val="0"/>
        </w:rPr>
        <w:t xml:space="preserve"> – this is as prior year  and split into Pharmacy (which includes drugs and dressings), Surgical Supplies (this includes all Orthopaedic supplies, Heart valves, implantable cardiac devices etc) and surgical appliances and Lab/Radiology supplies (this includes all clinical materials used in lab and radiology); </w:t>
      </w:r>
    </w:p>
    <w:p w:rsidR="00F64E0F" w:rsidRPr="009A5612" w:rsidRDefault="00F64E0F" w:rsidP="00515DFD">
      <w:pPr>
        <w:pStyle w:val="BodyTextIndent"/>
        <w:numPr>
          <w:ilvl w:val="0"/>
          <w:numId w:val="6"/>
        </w:numPr>
        <w:rPr>
          <w:rFonts w:ascii="Arial" w:hAnsi="Arial" w:cs="Arial"/>
          <w:b/>
          <w:iCs w:val="0"/>
        </w:rPr>
      </w:pPr>
      <w:r w:rsidRPr="009A5612">
        <w:rPr>
          <w:rFonts w:ascii="Arial" w:hAnsi="Arial" w:cs="Arial"/>
          <w:b/>
          <w:iCs w:val="0"/>
        </w:rPr>
        <w:t>Supplies – Non-clinical</w:t>
      </w:r>
    </w:p>
    <w:p w:rsidR="00F64E0F" w:rsidRPr="009A5612" w:rsidRDefault="00F64E0F" w:rsidP="00515DFD">
      <w:pPr>
        <w:pStyle w:val="BodyTextIndent"/>
        <w:ind w:left="1080"/>
        <w:rPr>
          <w:rFonts w:ascii="Arial" w:hAnsi="Arial" w:cs="Arial"/>
          <w:iCs w:val="0"/>
        </w:rPr>
      </w:pPr>
      <w:r w:rsidRPr="009A5612">
        <w:rPr>
          <w:rFonts w:ascii="Arial" w:hAnsi="Arial" w:cs="Arial"/>
          <w:iCs w:val="0"/>
        </w:rPr>
        <w:t>As with clinical supplies this has now been split into appropriate headings with these being: Property, plant and equipment (this includes all expenditure associate with this area, eg maintenance cost, repairs and equipment purchases), facilities (this includes supplies related to housekeeping, portering, catering, security, heat, light and power and rates) and other non-clinical supplies (this includes items such as training, printing, stationery etc the reserve budget and spend is also now included in this line);</w:t>
      </w:r>
    </w:p>
    <w:p w:rsidR="00F64E0F" w:rsidRPr="002B6E78" w:rsidRDefault="00F64E0F" w:rsidP="00515DFD">
      <w:pPr>
        <w:pStyle w:val="BodyTextIndent"/>
        <w:ind w:left="0"/>
        <w:rPr>
          <w:rFonts w:ascii="Arial" w:hAnsi="Arial" w:cs="Arial"/>
          <w:iCs w:val="0"/>
          <w:highlight w:val="yellow"/>
        </w:rPr>
      </w:pPr>
    </w:p>
    <w:p w:rsidR="00F64E0F" w:rsidRPr="009A5612" w:rsidRDefault="00F64E0F" w:rsidP="00515DFD">
      <w:pPr>
        <w:pStyle w:val="BodyTextIndent"/>
        <w:numPr>
          <w:ilvl w:val="0"/>
          <w:numId w:val="6"/>
        </w:numPr>
        <w:rPr>
          <w:rFonts w:ascii="Arial" w:hAnsi="Arial" w:cs="Arial"/>
          <w:iCs w:val="0"/>
        </w:rPr>
      </w:pPr>
      <w:r w:rsidRPr="009A5612">
        <w:rPr>
          <w:rFonts w:ascii="Arial" w:hAnsi="Arial" w:cs="Arial"/>
          <w:b/>
          <w:iCs w:val="0"/>
        </w:rPr>
        <w:t>Non-Core</w:t>
      </w:r>
    </w:p>
    <w:p w:rsidR="00F64E0F" w:rsidRPr="009A5612" w:rsidRDefault="00F64E0F" w:rsidP="00515DFD">
      <w:pPr>
        <w:pStyle w:val="BodyTextIndent"/>
        <w:ind w:left="1080"/>
        <w:rPr>
          <w:rFonts w:ascii="Arial" w:hAnsi="Arial" w:cs="Arial"/>
          <w:iCs w:val="0"/>
        </w:rPr>
      </w:pPr>
      <w:r w:rsidRPr="009A5612">
        <w:rPr>
          <w:rFonts w:ascii="Arial" w:hAnsi="Arial" w:cs="Arial"/>
          <w:iCs w:val="0"/>
        </w:rPr>
        <w:t>This section includes depreciation, provisions (funded via annually managed expenditure) and impairment.</w:t>
      </w:r>
    </w:p>
    <w:p w:rsidR="00F64E0F" w:rsidRPr="002B6E78" w:rsidRDefault="00F64E0F" w:rsidP="00515DFD">
      <w:pPr>
        <w:pStyle w:val="BodyTextIndent"/>
        <w:ind w:left="0"/>
        <w:rPr>
          <w:rFonts w:ascii="Arial" w:hAnsi="Arial" w:cs="Arial"/>
          <w:iCs w:val="0"/>
          <w:highlight w:val="yellow"/>
        </w:rPr>
      </w:pPr>
      <w:r w:rsidRPr="002B6E78">
        <w:rPr>
          <w:rFonts w:ascii="Arial" w:hAnsi="Arial" w:cs="Arial"/>
          <w:iCs w:val="0"/>
          <w:highlight w:val="yellow"/>
        </w:rPr>
        <w:t xml:space="preserve">            </w:t>
      </w:r>
    </w:p>
    <w:p w:rsidR="00F64E0F" w:rsidRPr="009A5612" w:rsidRDefault="00F64E0F" w:rsidP="00515DFD">
      <w:pPr>
        <w:pStyle w:val="BodyTextIndent"/>
        <w:rPr>
          <w:rFonts w:ascii="Arial" w:hAnsi="Arial" w:cs="Arial"/>
          <w:b/>
          <w:iCs w:val="0"/>
        </w:rPr>
      </w:pPr>
      <w:r w:rsidRPr="009A5612">
        <w:rPr>
          <w:rFonts w:ascii="Arial" w:hAnsi="Arial" w:cs="Arial"/>
          <w:b/>
          <w:iCs w:val="0"/>
        </w:rPr>
        <w:t xml:space="preserve">Review </w:t>
      </w:r>
    </w:p>
    <w:p w:rsidR="00F64E0F" w:rsidRPr="009A5612" w:rsidRDefault="00F64E0F" w:rsidP="00515DFD">
      <w:pPr>
        <w:pStyle w:val="BodyTextIndent"/>
        <w:rPr>
          <w:rFonts w:ascii="Arial" w:hAnsi="Arial" w:cs="Arial"/>
          <w:b/>
          <w:iCs w:val="0"/>
          <w:color w:val="FF0000"/>
        </w:rPr>
      </w:pPr>
    </w:p>
    <w:p w:rsidR="00F64E0F" w:rsidRPr="009A5612" w:rsidRDefault="00F64E0F" w:rsidP="00515DFD">
      <w:pPr>
        <w:pStyle w:val="BodyTextIndent"/>
        <w:rPr>
          <w:rFonts w:ascii="Arial" w:hAnsi="Arial" w:cs="Arial"/>
          <w:b/>
          <w:iCs w:val="0"/>
        </w:rPr>
      </w:pPr>
      <w:r w:rsidRPr="009A5612">
        <w:rPr>
          <w:rFonts w:ascii="Arial" w:hAnsi="Arial" w:cs="Arial"/>
          <w:b/>
          <w:iCs w:val="0"/>
        </w:rPr>
        <w:t>Staff Cost Variance</w:t>
      </w:r>
    </w:p>
    <w:p w:rsidR="00F64E0F" w:rsidRPr="009A5612" w:rsidRDefault="00F64E0F" w:rsidP="00515DFD">
      <w:pPr>
        <w:pStyle w:val="BodyTextIndent"/>
        <w:rPr>
          <w:rFonts w:ascii="Arial" w:hAnsi="Arial" w:cs="Arial"/>
          <w:iCs w:val="0"/>
        </w:rPr>
      </w:pPr>
      <w:r w:rsidRPr="009A5612">
        <w:rPr>
          <w:rFonts w:ascii="Arial" w:hAnsi="Arial" w:cs="Arial"/>
          <w:iCs w:val="0"/>
        </w:rPr>
        <w:t xml:space="preserve">In line with previous years a number of steps were taken at budget setting to address cost pressures in this area both for </w:t>
      </w:r>
    </w:p>
    <w:p w:rsidR="00F64E0F" w:rsidRPr="009A5612" w:rsidRDefault="00F64E0F" w:rsidP="00515DFD">
      <w:pPr>
        <w:pStyle w:val="BodyTextIndent"/>
        <w:numPr>
          <w:ilvl w:val="0"/>
          <w:numId w:val="29"/>
        </w:numPr>
        <w:rPr>
          <w:rFonts w:ascii="Arial" w:hAnsi="Arial" w:cs="Arial"/>
          <w:iCs w:val="0"/>
        </w:rPr>
      </w:pPr>
      <w:r w:rsidRPr="009A5612">
        <w:rPr>
          <w:rFonts w:ascii="Arial" w:hAnsi="Arial" w:cs="Arial"/>
          <w:iCs w:val="0"/>
        </w:rPr>
        <w:lastRenderedPageBreak/>
        <w:t xml:space="preserve">known national changes in and recognising  </w:t>
      </w:r>
    </w:p>
    <w:p w:rsidR="00F64E0F" w:rsidRPr="009A5612" w:rsidRDefault="00F64E0F" w:rsidP="00515DFD">
      <w:pPr>
        <w:pStyle w:val="BodyTextIndent"/>
        <w:numPr>
          <w:ilvl w:val="0"/>
          <w:numId w:val="29"/>
        </w:numPr>
        <w:rPr>
          <w:rFonts w:ascii="Arial" w:hAnsi="Arial" w:cs="Arial"/>
          <w:iCs w:val="0"/>
        </w:rPr>
      </w:pPr>
      <w:r w:rsidRPr="009A5612">
        <w:rPr>
          <w:rFonts w:ascii="Arial" w:hAnsi="Arial" w:cs="Arial"/>
          <w:iCs w:val="0"/>
        </w:rPr>
        <w:t xml:space="preserve">nursing incremental drift, </w:t>
      </w:r>
    </w:p>
    <w:p w:rsidR="00F64E0F" w:rsidRPr="009A5612" w:rsidRDefault="00F64E0F" w:rsidP="00515DFD">
      <w:pPr>
        <w:pStyle w:val="BodyTextIndent"/>
        <w:numPr>
          <w:ilvl w:val="0"/>
          <w:numId w:val="29"/>
        </w:numPr>
        <w:rPr>
          <w:rFonts w:ascii="Arial" w:hAnsi="Arial" w:cs="Arial"/>
          <w:iCs w:val="0"/>
        </w:rPr>
      </w:pPr>
      <w:r w:rsidRPr="009A5612">
        <w:rPr>
          <w:rFonts w:ascii="Arial" w:hAnsi="Arial" w:cs="Arial"/>
          <w:iCs w:val="0"/>
        </w:rPr>
        <w:t xml:space="preserve">Orthopaedic and Ophthalmology expansions and </w:t>
      </w:r>
    </w:p>
    <w:p w:rsidR="00F64E0F" w:rsidRPr="009A5612" w:rsidRDefault="00F64E0F" w:rsidP="00515DFD">
      <w:pPr>
        <w:pStyle w:val="BodyTextIndent"/>
        <w:numPr>
          <w:ilvl w:val="0"/>
          <w:numId w:val="29"/>
        </w:numPr>
        <w:rPr>
          <w:rFonts w:ascii="Arial" w:hAnsi="Arial" w:cs="Arial"/>
          <w:iCs w:val="0"/>
        </w:rPr>
      </w:pPr>
      <w:r w:rsidRPr="009A5612">
        <w:rPr>
          <w:rFonts w:ascii="Arial" w:hAnsi="Arial" w:cs="Arial"/>
          <w:iCs w:val="0"/>
        </w:rPr>
        <w:t xml:space="preserve">Agreed service developments. </w:t>
      </w:r>
    </w:p>
    <w:p w:rsidR="00F64E0F" w:rsidRPr="009A5612" w:rsidRDefault="00F64E0F" w:rsidP="00515DFD">
      <w:pPr>
        <w:pStyle w:val="BodyTextIndent"/>
        <w:ind w:left="1080"/>
        <w:rPr>
          <w:rFonts w:ascii="Arial" w:hAnsi="Arial" w:cs="Arial"/>
          <w:iCs w:val="0"/>
        </w:rPr>
      </w:pPr>
    </w:p>
    <w:p w:rsidR="00F64E0F" w:rsidRPr="009A5612" w:rsidRDefault="00F64E0F" w:rsidP="00515DFD">
      <w:pPr>
        <w:pStyle w:val="BodyTextIndent"/>
        <w:rPr>
          <w:rFonts w:ascii="Arial" w:hAnsi="Arial" w:cs="Arial"/>
          <w:iCs w:val="0"/>
        </w:rPr>
      </w:pPr>
      <w:r w:rsidRPr="009A5612">
        <w:rPr>
          <w:rFonts w:ascii="Arial" w:hAnsi="Arial" w:cs="Arial"/>
          <w:iCs w:val="0"/>
        </w:rPr>
        <w:t xml:space="preserve">On completion of the nursing review papers and the work of the medical waiting list review group, increment reductions in overspends are predicted.  </w:t>
      </w:r>
    </w:p>
    <w:p w:rsidR="00F64E0F" w:rsidRPr="002B6E78" w:rsidRDefault="00F64E0F" w:rsidP="00515DFD">
      <w:pPr>
        <w:pStyle w:val="BodyTextIndent"/>
        <w:ind w:left="0"/>
        <w:rPr>
          <w:rFonts w:ascii="Arial" w:hAnsi="Arial" w:cs="Arial"/>
          <w:iCs w:val="0"/>
          <w:highlight w:val="yellow"/>
        </w:rPr>
      </w:pPr>
    </w:p>
    <w:p w:rsidR="00F64E0F" w:rsidRPr="009A5612" w:rsidRDefault="00F64E0F" w:rsidP="00515DFD">
      <w:pPr>
        <w:pStyle w:val="BodyTextIndent"/>
        <w:rPr>
          <w:rFonts w:ascii="Arial" w:hAnsi="Arial" w:cs="Arial"/>
          <w:bCs/>
        </w:rPr>
      </w:pPr>
      <w:r w:rsidRPr="009A5612">
        <w:rPr>
          <w:rFonts w:ascii="Arial" w:hAnsi="Arial" w:cs="Arial"/>
          <w:bCs/>
        </w:rPr>
        <w:t>In month staff costs show an overspend of (£</w:t>
      </w:r>
      <w:r>
        <w:rPr>
          <w:rFonts w:ascii="Arial" w:hAnsi="Arial" w:cs="Arial"/>
          <w:bCs/>
        </w:rPr>
        <w:t>49k) (overspend of (£1.101</w:t>
      </w:r>
      <w:r w:rsidRPr="009A5612">
        <w:rPr>
          <w:rFonts w:ascii="Arial" w:hAnsi="Arial" w:cs="Arial"/>
          <w:bCs/>
        </w:rPr>
        <w:t>m) ytd), this is greater than anticipated spend with the key drivers having been identified below:</w:t>
      </w:r>
    </w:p>
    <w:p w:rsidR="00F64E0F" w:rsidRPr="009A5612" w:rsidRDefault="00F64E0F" w:rsidP="00515DFD">
      <w:pPr>
        <w:pStyle w:val="BodyTextIndent"/>
        <w:ind w:left="0"/>
        <w:rPr>
          <w:rFonts w:ascii="Arial" w:hAnsi="Arial" w:cs="Arial"/>
          <w:bCs/>
        </w:rPr>
      </w:pPr>
    </w:p>
    <w:p w:rsidR="00F64E0F" w:rsidRPr="009A5612" w:rsidRDefault="00F64E0F" w:rsidP="00515DFD">
      <w:pPr>
        <w:pStyle w:val="BodyTextIndent"/>
        <w:numPr>
          <w:ilvl w:val="0"/>
          <w:numId w:val="11"/>
        </w:numPr>
        <w:rPr>
          <w:rFonts w:ascii="Arial" w:hAnsi="Arial" w:cs="Arial"/>
          <w:b/>
          <w:bCs/>
        </w:rPr>
      </w:pPr>
      <w:r w:rsidRPr="009A5612">
        <w:rPr>
          <w:rFonts w:ascii="Arial" w:hAnsi="Arial" w:cs="Arial"/>
          <w:b/>
          <w:bCs/>
        </w:rPr>
        <w:t>Medical</w:t>
      </w:r>
    </w:p>
    <w:p w:rsidR="00F64E0F" w:rsidRPr="009A5612" w:rsidRDefault="00F64E0F" w:rsidP="00515DFD">
      <w:pPr>
        <w:pStyle w:val="BodyTextIndent"/>
        <w:ind w:left="1209"/>
        <w:rPr>
          <w:rFonts w:ascii="Arial" w:hAnsi="Arial" w:cs="Arial"/>
          <w:bCs/>
        </w:rPr>
      </w:pPr>
      <w:r w:rsidRPr="009A5612">
        <w:rPr>
          <w:rFonts w:ascii="Arial" w:hAnsi="Arial" w:cs="Arial"/>
          <w:bCs/>
        </w:rPr>
        <w:t>The in month variance is (£1</w:t>
      </w:r>
      <w:r>
        <w:rPr>
          <w:rFonts w:ascii="Arial" w:hAnsi="Arial" w:cs="Arial"/>
          <w:bCs/>
        </w:rPr>
        <w:t>21</w:t>
      </w:r>
      <w:r w:rsidRPr="009A5612">
        <w:rPr>
          <w:rFonts w:ascii="Arial" w:hAnsi="Arial" w:cs="Arial"/>
          <w:bCs/>
        </w:rPr>
        <w:t>k) overspend (overspend of (£1.</w:t>
      </w:r>
      <w:r>
        <w:rPr>
          <w:rFonts w:ascii="Arial" w:hAnsi="Arial" w:cs="Arial"/>
          <w:bCs/>
        </w:rPr>
        <w:t>885</w:t>
      </w:r>
      <w:r w:rsidRPr="009A5612">
        <w:rPr>
          <w:rFonts w:ascii="Arial" w:hAnsi="Arial" w:cs="Arial"/>
          <w:bCs/>
        </w:rPr>
        <w:t>m) ytd) the main reasons for this are noted below and comprise the following in each area:</w:t>
      </w:r>
    </w:p>
    <w:p w:rsidR="00F64E0F" w:rsidRPr="009A5612" w:rsidRDefault="00F64E0F" w:rsidP="00515DFD">
      <w:pPr>
        <w:pStyle w:val="BodyTextIndent"/>
        <w:ind w:left="1209"/>
        <w:rPr>
          <w:rFonts w:ascii="Arial" w:hAnsi="Arial" w:cs="Arial"/>
          <w:bCs/>
        </w:rPr>
      </w:pPr>
    </w:p>
    <w:p w:rsidR="00F64E0F" w:rsidRPr="009A5612" w:rsidRDefault="00F64E0F" w:rsidP="00515DFD">
      <w:pPr>
        <w:pStyle w:val="BodyTextIndent"/>
        <w:ind w:left="1209"/>
        <w:rPr>
          <w:rFonts w:ascii="Arial" w:hAnsi="Arial" w:cs="Arial"/>
          <w:bCs/>
        </w:rPr>
      </w:pPr>
      <w:r w:rsidRPr="009A5612">
        <w:rPr>
          <w:rFonts w:ascii="Arial" w:hAnsi="Arial" w:cs="Arial"/>
          <w:b/>
          <w:bCs/>
        </w:rPr>
        <w:t>Regional Medicine</w:t>
      </w:r>
      <w:r w:rsidRPr="009A5612">
        <w:rPr>
          <w:rFonts w:ascii="Arial" w:hAnsi="Arial" w:cs="Arial"/>
          <w:bCs/>
        </w:rPr>
        <w:t xml:space="preserve"> – (£</w:t>
      </w:r>
      <w:r>
        <w:rPr>
          <w:rFonts w:ascii="Arial" w:hAnsi="Arial" w:cs="Arial"/>
          <w:bCs/>
        </w:rPr>
        <w:t>927</w:t>
      </w:r>
      <w:r w:rsidRPr="009A5612">
        <w:rPr>
          <w:rFonts w:ascii="Arial" w:hAnsi="Arial" w:cs="Arial"/>
          <w:bCs/>
        </w:rPr>
        <w:t>k) overspend ytd with an in month adverse movement of (£</w:t>
      </w:r>
      <w:r>
        <w:rPr>
          <w:rFonts w:ascii="Arial" w:hAnsi="Arial" w:cs="Arial"/>
          <w:bCs/>
        </w:rPr>
        <w:t>38k), caused by;</w:t>
      </w:r>
    </w:p>
    <w:p w:rsidR="00F64E0F" w:rsidRPr="009A5612" w:rsidRDefault="00F64E0F" w:rsidP="00515DFD">
      <w:pPr>
        <w:pStyle w:val="BodyTextIndent"/>
        <w:numPr>
          <w:ilvl w:val="0"/>
          <w:numId w:val="8"/>
        </w:numPr>
        <w:rPr>
          <w:rFonts w:ascii="Arial" w:hAnsi="Arial" w:cs="Arial"/>
          <w:bCs/>
        </w:rPr>
      </w:pPr>
      <w:r>
        <w:rPr>
          <w:rFonts w:ascii="Arial" w:hAnsi="Arial" w:cs="Arial"/>
          <w:bCs/>
        </w:rPr>
        <w:t xml:space="preserve">Continued </w:t>
      </w:r>
      <w:r w:rsidRPr="009A5612">
        <w:rPr>
          <w:rFonts w:ascii="Arial" w:hAnsi="Arial" w:cs="Arial"/>
          <w:bCs/>
        </w:rPr>
        <w:t>WLI sessions cover, particularly within E</w:t>
      </w:r>
      <w:r>
        <w:rPr>
          <w:rFonts w:ascii="Arial" w:hAnsi="Arial" w:cs="Arial"/>
          <w:bCs/>
        </w:rPr>
        <w:t>P,</w:t>
      </w:r>
      <w:r w:rsidRPr="009A5612">
        <w:rPr>
          <w:rFonts w:ascii="Arial" w:hAnsi="Arial" w:cs="Arial"/>
          <w:bCs/>
        </w:rPr>
        <w:t xml:space="preserve"> coronary with Cath Lab 4 closure and associated evening &amp; weekend sessions</w:t>
      </w:r>
      <w:r>
        <w:rPr>
          <w:rFonts w:ascii="Arial" w:hAnsi="Arial" w:cs="Arial"/>
          <w:bCs/>
        </w:rPr>
        <w:t xml:space="preserve"> and NSD services;</w:t>
      </w:r>
    </w:p>
    <w:p w:rsidR="00F64E0F" w:rsidRPr="009A5612" w:rsidRDefault="00F64E0F" w:rsidP="00515DFD">
      <w:pPr>
        <w:pStyle w:val="BodyTextIndent"/>
        <w:numPr>
          <w:ilvl w:val="0"/>
          <w:numId w:val="8"/>
        </w:numPr>
        <w:rPr>
          <w:rFonts w:ascii="Arial" w:hAnsi="Arial" w:cs="Arial"/>
          <w:bCs/>
        </w:rPr>
      </w:pPr>
      <w:r w:rsidRPr="009A5612">
        <w:rPr>
          <w:rFonts w:ascii="Arial" w:hAnsi="Arial" w:cs="Arial"/>
          <w:bCs/>
        </w:rPr>
        <w:t xml:space="preserve">Cardiology Medical SLA pressure and Golden Jubilee sessions worked at Greater Glasgow and Clyde (GG&amp;C). GG&amp;C </w:t>
      </w:r>
      <w:r>
        <w:rPr>
          <w:rFonts w:ascii="Arial" w:hAnsi="Arial" w:cs="Arial"/>
          <w:bCs/>
        </w:rPr>
        <w:t xml:space="preserve">and approval has </w:t>
      </w:r>
      <w:r w:rsidRPr="009A5612">
        <w:rPr>
          <w:rFonts w:ascii="Arial" w:hAnsi="Arial" w:cs="Arial"/>
          <w:bCs/>
        </w:rPr>
        <w:t>agree</w:t>
      </w:r>
      <w:r>
        <w:rPr>
          <w:rFonts w:ascii="Arial" w:hAnsi="Arial" w:cs="Arial"/>
          <w:bCs/>
        </w:rPr>
        <w:t>d</w:t>
      </w:r>
      <w:r w:rsidRPr="009A5612">
        <w:rPr>
          <w:rFonts w:ascii="Arial" w:hAnsi="Arial" w:cs="Arial"/>
          <w:bCs/>
        </w:rPr>
        <w:t xml:space="preserve"> financial values on a quarterly basis to reduce this going forward </w:t>
      </w:r>
      <w:r>
        <w:rPr>
          <w:rFonts w:ascii="Arial" w:hAnsi="Arial" w:cs="Arial"/>
          <w:bCs/>
        </w:rPr>
        <w:t>from April 2017. This will remove the significant impact of variance on timing of payments as opposed to any true cost pressure ;</w:t>
      </w:r>
    </w:p>
    <w:p w:rsidR="00F64E0F" w:rsidRPr="009A5612" w:rsidRDefault="00F64E0F" w:rsidP="00515DFD">
      <w:pPr>
        <w:pStyle w:val="BodyTextIndent"/>
        <w:numPr>
          <w:ilvl w:val="0"/>
          <w:numId w:val="8"/>
        </w:numPr>
        <w:rPr>
          <w:rFonts w:ascii="Arial" w:hAnsi="Arial" w:cs="Arial"/>
          <w:bCs/>
        </w:rPr>
      </w:pPr>
      <w:r w:rsidRPr="009A5612">
        <w:rPr>
          <w:rFonts w:ascii="Arial" w:hAnsi="Arial" w:cs="Arial"/>
          <w:bCs/>
        </w:rPr>
        <w:t xml:space="preserve">Labs Medical SLA </w:t>
      </w:r>
      <w:r>
        <w:rPr>
          <w:rFonts w:ascii="Arial" w:hAnsi="Arial" w:cs="Arial"/>
          <w:bCs/>
        </w:rPr>
        <w:t>unachieved efficiency saving, discussions with NHS GG&amp;C are ongoing with a further meeting arranged in March to agree a resolution to this service issue ; and</w:t>
      </w:r>
    </w:p>
    <w:p w:rsidR="00F64E0F" w:rsidRDefault="00F64E0F" w:rsidP="00515DFD">
      <w:pPr>
        <w:pStyle w:val="BodyTextIndent"/>
        <w:numPr>
          <w:ilvl w:val="0"/>
          <w:numId w:val="8"/>
        </w:numPr>
        <w:rPr>
          <w:rFonts w:ascii="Arial" w:hAnsi="Arial" w:cs="Arial"/>
          <w:bCs/>
        </w:rPr>
      </w:pPr>
      <w:r>
        <w:rPr>
          <w:rFonts w:ascii="Arial" w:hAnsi="Arial" w:cs="Arial"/>
          <w:bCs/>
        </w:rPr>
        <w:t>CMR activity by cardiology consultants to cover NSD gap</w:t>
      </w:r>
    </w:p>
    <w:p w:rsidR="00F64E0F" w:rsidRPr="009A5612" w:rsidRDefault="00F64E0F" w:rsidP="00515DFD">
      <w:pPr>
        <w:pStyle w:val="BodyTextIndent"/>
        <w:numPr>
          <w:ilvl w:val="0"/>
          <w:numId w:val="8"/>
        </w:numPr>
        <w:rPr>
          <w:rFonts w:ascii="Arial" w:hAnsi="Arial" w:cs="Arial"/>
          <w:bCs/>
        </w:rPr>
      </w:pPr>
      <w:r>
        <w:rPr>
          <w:rFonts w:ascii="Arial" w:hAnsi="Arial" w:cs="Arial"/>
          <w:bCs/>
        </w:rPr>
        <w:t>Radiology medical staff with budget to due on receipt of funding for MRI bus</w:t>
      </w:r>
    </w:p>
    <w:p w:rsidR="00F64E0F" w:rsidRPr="002B6E78" w:rsidRDefault="00F64E0F" w:rsidP="00515DFD">
      <w:pPr>
        <w:pStyle w:val="BodyTextIndent"/>
        <w:ind w:left="1569"/>
        <w:rPr>
          <w:rFonts w:ascii="Arial" w:hAnsi="Arial" w:cs="Arial"/>
          <w:bCs/>
          <w:highlight w:val="yellow"/>
        </w:rPr>
      </w:pPr>
    </w:p>
    <w:p w:rsidR="00F64E0F" w:rsidRPr="009A5612" w:rsidRDefault="00F64E0F" w:rsidP="00515DFD">
      <w:pPr>
        <w:pStyle w:val="BodyTextIndent"/>
        <w:ind w:left="1209"/>
        <w:rPr>
          <w:rFonts w:ascii="Arial" w:hAnsi="Arial" w:cs="Arial"/>
          <w:bCs/>
        </w:rPr>
      </w:pPr>
      <w:r w:rsidRPr="009A5612">
        <w:rPr>
          <w:rFonts w:ascii="Arial" w:hAnsi="Arial" w:cs="Arial"/>
          <w:b/>
          <w:bCs/>
        </w:rPr>
        <w:t xml:space="preserve">Surgical </w:t>
      </w:r>
      <w:r w:rsidRPr="009A5612">
        <w:rPr>
          <w:rFonts w:ascii="Arial" w:hAnsi="Arial" w:cs="Arial"/>
          <w:bCs/>
        </w:rPr>
        <w:t>–</w:t>
      </w:r>
      <w:r w:rsidRPr="009A5612">
        <w:rPr>
          <w:rFonts w:ascii="Arial" w:hAnsi="Arial" w:cs="Arial"/>
          <w:b/>
          <w:bCs/>
        </w:rPr>
        <w:t xml:space="preserve"> </w:t>
      </w:r>
      <w:r>
        <w:rPr>
          <w:rFonts w:ascii="Arial" w:hAnsi="Arial" w:cs="Arial"/>
          <w:bCs/>
        </w:rPr>
        <w:t>(£971</w:t>
      </w:r>
      <w:r w:rsidRPr="009A5612">
        <w:rPr>
          <w:rFonts w:ascii="Arial" w:hAnsi="Arial" w:cs="Arial"/>
          <w:bCs/>
        </w:rPr>
        <w:t>k) overspend ytd with an in month adverse movement of (£</w:t>
      </w:r>
      <w:r>
        <w:rPr>
          <w:rFonts w:ascii="Arial" w:hAnsi="Arial" w:cs="Arial"/>
          <w:bCs/>
        </w:rPr>
        <w:t>89</w:t>
      </w:r>
      <w:r w:rsidRPr="009A5612">
        <w:rPr>
          <w:rFonts w:ascii="Arial" w:hAnsi="Arial" w:cs="Arial"/>
          <w:bCs/>
        </w:rPr>
        <w:t>k), this has been caused by the following:</w:t>
      </w:r>
    </w:p>
    <w:p w:rsidR="00F64E0F" w:rsidRPr="009A5612" w:rsidRDefault="00F64E0F" w:rsidP="00515DFD">
      <w:pPr>
        <w:pStyle w:val="BodyTextIndent"/>
        <w:ind w:left="0"/>
        <w:rPr>
          <w:rFonts w:ascii="Arial" w:hAnsi="Arial" w:cs="Arial"/>
          <w:b/>
          <w:bCs/>
        </w:rPr>
      </w:pPr>
    </w:p>
    <w:p w:rsidR="00F64E0F" w:rsidRPr="009A5612" w:rsidRDefault="00F64E0F" w:rsidP="00515DFD">
      <w:pPr>
        <w:pStyle w:val="BodyTextIndent"/>
        <w:ind w:left="1209"/>
        <w:rPr>
          <w:rFonts w:ascii="Arial" w:hAnsi="Arial" w:cs="Arial"/>
          <w:bCs/>
        </w:rPr>
      </w:pPr>
      <w:r w:rsidRPr="009A5612">
        <w:rPr>
          <w:rFonts w:ascii="Arial" w:hAnsi="Arial" w:cs="Arial"/>
          <w:bCs/>
        </w:rPr>
        <w:t>Orthopaedics (£5</w:t>
      </w:r>
      <w:r>
        <w:rPr>
          <w:rFonts w:ascii="Arial" w:hAnsi="Arial" w:cs="Arial"/>
          <w:bCs/>
        </w:rPr>
        <w:t>54</w:t>
      </w:r>
      <w:r w:rsidRPr="009A5612">
        <w:rPr>
          <w:rFonts w:ascii="Arial" w:hAnsi="Arial" w:cs="Arial"/>
          <w:bCs/>
        </w:rPr>
        <w:t>k)</w:t>
      </w:r>
    </w:p>
    <w:p w:rsidR="00F64E0F" w:rsidRPr="007467AB" w:rsidRDefault="00F64E0F" w:rsidP="00515DFD">
      <w:pPr>
        <w:pStyle w:val="BodyTextIndent"/>
        <w:numPr>
          <w:ilvl w:val="0"/>
          <w:numId w:val="9"/>
        </w:numPr>
        <w:rPr>
          <w:rFonts w:ascii="Arial" w:hAnsi="Arial" w:cs="Arial"/>
          <w:bCs/>
        </w:rPr>
      </w:pPr>
      <w:r w:rsidRPr="009A5612">
        <w:rPr>
          <w:rFonts w:ascii="Arial" w:hAnsi="Arial" w:cs="Arial"/>
          <w:bCs/>
        </w:rPr>
        <w:t>Waiting list payments cov</w:t>
      </w:r>
      <w:r>
        <w:rPr>
          <w:rFonts w:ascii="Arial" w:hAnsi="Arial" w:cs="Arial"/>
          <w:bCs/>
        </w:rPr>
        <w:t xml:space="preserve">ering Theatres session gaps of 288.5 </w:t>
      </w:r>
      <w:r w:rsidRPr="009A5612">
        <w:rPr>
          <w:rFonts w:ascii="Arial" w:hAnsi="Arial" w:cs="Arial"/>
          <w:bCs/>
        </w:rPr>
        <w:t xml:space="preserve">sessions </w:t>
      </w:r>
      <w:r>
        <w:rPr>
          <w:rFonts w:ascii="Arial" w:hAnsi="Arial" w:cs="Arial"/>
          <w:bCs/>
        </w:rPr>
        <w:t xml:space="preserve">from </w:t>
      </w:r>
      <w:r w:rsidRPr="009A5612">
        <w:rPr>
          <w:rFonts w:ascii="Arial" w:hAnsi="Arial" w:cs="Arial"/>
          <w:bCs/>
        </w:rPr>
        <w:t xml:space="preserve">April to </w:t>
      </w:r>
      <w:r>
        <w:rPr>
          <w:rFonts w:ascii="Arial" w:hAnsi="Arial" w:cs="Arial"/>
          <w:bCs/>
        </w:rPr>
        <w:t>January 2017</w:t>
      </w:r>
      <w:r w:rsidRPr="009A5612">
        <w:rPr>
          <w:rFonts w:ascii="Arial" w:hAnsi="Arial" w:cs="Arial"/>
          <w:bCs/>
        </w:rPr>
        <w:t xml:space="preserve"> </w:t>
      </w:r>
      <w:r>
        <w:rPr>
          <w:rFonts w:ascii="Arial" w:hAnsi="Arial" w:cs="Arial"/>
          <w:bCs/>
        </w:rPr>
        <w:t xml:space="preserve">this is </w:t>
      </w:r>
      <w:r w:rsidRPr="009A5612">
        <w:rPr>
          <w:rFonts w:ascii="Arial" w:hAnsi="Arial" w:cs="Arial"/>
          <w:bCs/>
        </w:rPr>
        <w:t xml:space="preserve">over </w:t>
      </w:r>
      <w:r>
        <w:rPr>
          <w:rFonts w:ascii="Arial" w:hAnsi="Arial" w:cs="Arial"/>
          <w:bCs/>
        </w:rPr>
        <w:t>and above funded Saturday lists. T</w:t>
      </w:r>
      <w:r w:rsidRPr="009A5612">
        <w:rPr>
          <w:rFonts w:ascii="Arial" w:hAnsi="Arial" w:cs="Arial"/>
          <w:bCs/>
        </w:rPr>
        <w:t xml:space="preserve">he substantive consultant post has been appointed in addition to the locum replacement </w:t>
      </w:r>
      <w:r>
        <w:rPr>
          <w:rFonts w:ascii="Arial" w:hAnsi="Arial" w:cs="Arial"/>
          <w:bCs/>
        </w:rPr>
        <w:t>and going forward 96 Saturday lists (45%) will be covered from within job plans from April 2017. An action will be taken to review all Saturday WLI lists within job plans throughout 2017-18.</w:t>
      </w:r>
    </w:p>
    <w:p w:rsidR="00F64E0F" w:rsidRDefault="00F64E0F" w:rsidP="00515DFD">
      <w:pPr>
        <w:pStyle w:val="BodyTextIndent"/>
        <w:numPr>
          <w:ilvl w:val="0"/>
          <w:numId w:val="9"/>
        </w:numPr>
        <w:rPr>
          <w:rFonts w:ascii="Arial" w:hAnsi="Arial" w:cs="Arial"/>
          <w:bCs/>
        </w:rPr>
      </w:pPr>
      <w:r w:rsidRPr="007467AB">
        <w:rPr>
          <w:rFonts w:ascii="Arial" w:hAnsi="Arial" w:cs="Arial"/>
          <w:bCs/>
        </w:rPr>
        <w:lastRenderedPageBreak/>
        <w:t xml:space="preserve"> Agency usage to cover  vacancies within junior doctor rotations, and this has now ceased</w:t>
      </w:r>
      <w:r>
        <w:rPr>
          <w:rFonts w:ascii="Arial" w:hAnsi="Arial" w:cs="Arial"/>
          <w:bCs/>
        </w:rPr>
        <w:t>;</w:t>
      </w:r>
    </w:p>
    <w:p w:rsidR="00F64E0F" w:rsidRPr="007467AB" w:rsidRDefault="00F64E0F" w:rsidP="00515DFD">
      <w:pPr>
        <w:pStyle w:val="BodyTextIndent"/>
        <w:numPr>
          <w:ilvl w:val="0"/>
          <w:numId w:val="9"/>
        </w:numPr>
        <w:rPr>
          <w:rFonts w:ascii="Arial" w:hAnsi="Arial" w:cs="Arial"/>
          <w:bCs/>
        </w:rPr>
      </w:pPr>
      <w:r>
        <w:rPr>
          <w:rFonts w:ascii="Arial" w:hAnsi="Arial" w:cs="Arial"/>
          <w:bCs/>
        </w:rPr>
        <w:t>Physician Assistant posts</w:t>
      </w:r>
    </w:p>
    <w:p w:rsidR="00F64E0F" w:rsidRPr="007467AB" w:rsidRDefault="00F64E0F" w:rsidP="00515DFD">
      <w:pPr>
        <w:pStyle w:val="BodyTextIndent"/>
        <w:numPr>
          <w:ilvl w:val="0"/>
          <w:numId w:val="9"/>
        </w:numPr>
        <w:rPr>
          <w:rFonts w:ascii="Arial" w:hAnsi="Arial" w:cs="Arial"/>
          <w:bCs/>
        </w:rPr>
      </w:pPr>
      <w:r w:rsidRPr="007467AB">
        <w:rPr>
          <w:rFonts w:ascii="Arial" w:hAnsi="Arial" w:cs="Arial"/>
          <w:bCs/>
        </w:rPr>
        <w:t xml:space="preserve">Recurring medical session costs </w:t>
      </w:r>
      <w:r>
        <w:rPr>
          <w:rFonts w:ascii="Arial" w:hAnsi="Arial" w:cs="Arial"/>
          <w:bCs/>
        </w:rPr>
        <w:t xml:space="preserve">with </w:t>
      </w:r>
      <w:r w:rsidRPr="007467AB">
        <w:rPr>
          <w:rFonts w:ascii="Arial" w:hAnsi="Arial" w:cs="Arial"/>
          <w:bCs/>
        </w:rPr>
        <w:t>anticipated funding due on income receipt</w:t>
      </w:r>
      <w:r>
        <w:rPr>
          <w:rFonts w:ascii="Arial" w:hAnsi="Arial" w:cs="Arial"/>
          <w:bCs/>
        </w:rPr>
        <w:t>.</w:t>
      </w:r>
    </w:p>
    <w:p w:rsidR="00F64E0F" w:rsidRPr="002B6E78" w:rsidRDefault="00F64E0F" w:rsidP="00515DFD">
      <w:pPr>
        <w:pStyle w:val="BodyTextIndent"/>
        <w:ind w:left="1929"/>
        <w:rPr>
          <w:rFonts w:ascii="Arial" w:hAnsi="Arial" w:cs="Arial"/>
          <w:bCs/>
          <w:highlight w:val="yellow"/>
        </w:rPr>
      </w:pPr>
    </w:p>
    <w:p w:rsidR="00F64E0F" w:rsidRPr="007467AB" w:rsidRDefault="00F64E0F" w:rsidP="00515DFD">
      <w:pPr>
        <w:pStyle w:val="BodyTextIndent"/>
        <w:ind w:left="1209"/>
        <w:rPr>
          <w:rFonts w:ascii="Arial" w:hAnsi="Arial" w:cs="Arial"/>
          <w:bCs/>
        </w:rPr>
      </w:pPr>
      <w:r w:rsidRPr="007467AB">
        <w:rPr>
          <w:rFonts w:ascii="Arial" w:hAnsi="Arial" w:cs="Arial"/>
          <w:bCs/>
        </w:rPr>
        <w:t>Anaesthetics (£4</w:t>
      </w:r>
      <w:r>
        <w:rPr>
          <w:rFonts w:ascii="Arial" w:hAnsi="Arial" w:cs="Arial"/>
          <w:bCs/>
        </w:rPr>
        <w:t>42</w:t>
      </w:r>
      <w:r w:rsidRPr="007467AB">
        <w:rPr>
          <w:rFonts w:ascii="Arial" w:hAnsi="Arial" w:cs="Arial"/>
          <w:bCs/>
        </w:rPr>
        <w:t>k)</w:t>
      </w:r>
    </w:p>
    <w:p w:rsidR="00F64E0F" w:rsidRPr="007467AB" w:rsidRDefault="00F64E0F" w:rsidP="00515DFD">
      <w:pPr>
        <w:pStyle w:val="BodyTextIndent"/>
        <w:numPr>
          <w:ilvl w:val="0"/>
          <w:numId w:val="10"/>
        </w:numPr>
        <w:rPr>
          <w:rFonts w:ascii="Arial" w:hAnsi="Arial" w:cs="Arial"/>
          <w:bCs/>
        </w:rPr>
      </w:pPr>
      <w:r w:rsidRPr="007467AB">
        <w:rPr>
          <w:rFonts w:ascii="Arial" w:hAnsi="Arial" w:cs="Arial"/>
          <w:bCs/>
        </w:rPr>
        <w:t xml:space="preserve">Waiting list payments covering sickness absence, study leave and vacancies. There is a continued improvement in routine </w:t>
      </w:r>
      <w:r>
        <w:rPr>
          <w:rFonts w:ascii="Arial" w:hAnsi="Arial" w:cs="Arial"/>
          <w:bCs/>
        </w:rPr>
        <w:t>sessions requiring cover, with 340</w:t>
      </w:r>
      <w:r w:rsidRPr="007467AB">
        <w:rPr>
          <w:rFonts w:ascii="Arial" w:hAnsi="Arial" w:cs="Arial"/>
          <w:bCs/>
        </w:rPr>
        <w:t xml:space="preserve"> sessions less worked for the </w:t>
      </w:r>
      <w:r>
        <w:rPr>
          <w:rFonts w:ascii="Arial" w:hAnsi="Arial" w:cs="Arial"/>
          <w:bCs/>
        </w:rPr>
        <w:t>10 months to 2017</w:t>
      </w:r>
      <w:r w:rsidRPr="007467AB">
        <w:rPr>
          <w:rFonts w:ascii="Arial" w:hAnsi="Arial" w:cs="Arial"/>
          <w:bCs/>
        </w:rPr>
        <w:t xml:space="preserve"> compared at </w:t>
      </w:r>
      <w:r>
        <w:rPr>
          <w:rFonts w:ascii="Arial" w:hAnsi="Arial" w:cs="Arial"/>
          <w:bCs/>
        </w:rPr>
        <w:t>January 2016</w:t>
      </w:r>
      <w:r w:rsidRPr="007467AB">
        <w:rPr>
          <w:rFonts w:ascii="Arial" w:hAnsi="Arial" w:cs="Arial"/>
          <w:bCs/>
        </w:rPr>
        <w:t>;</w:t>
      </w:r>
    </w:p>
    <w:p w:rsidR="00F64E0F" w:rsidRDefault="00F64E0F" w:rsidP="00515DFD">
      <w:pPr>
        <w:pStyle w:val="BodyTextIndent"/>
        <w:numPr>
          <w:ilvl w:val="0"/>
          <w:numId w:val="10"/>
        </w:numPr>
        <w:rPr>
          <w:rFonts w:ascii="Arial" w:hAnsi="Arial" w:cs="Arial"/>
          <w:bCs/>
        </w:rPr>
      </w:pPr>
      <w:r w:rsidRPr="007467AB">
        <w:rPr>
          <w:rFonts w:ascii="Arial" w:hAnsi="Arial" w:cs="Arial"/>
          <w:bCs/>
        </w:rPr>
        <w:t>Recurring medical session costs worked on behalf of GG&amp;C, e-health clinical lead and clinical lead in organ donation (CLOD) with anticipated funding due on income receipt; and</w:t>
      </w:r>
    </w:p>
    <w:p w:rsidR="00F64E0F" w:rsidRPr="007467AB" w:rsidRDefault="00F64E0F" w:rsidP="00515DFD">
      <w:pPr>
        <w:pStyle w:val="BodyTextIndent"/>
        <w:numPr>
          <w:ilvl w:val="0"/>
          <w:numId w:val="10"/>
        </w:numPr>
        <w:rPr>
          <w:rFonts w:ascii="Arial" w:hAnsi="Arial" w:cs="Arial"/>
          <w:bCs/>
        </w:rPr>
      </w:pPr>
      <w:r>
        <w:rPr>
          <w:rFonts w:ascii="Arial" w:hAnsi="Arial" w:cs="Arial"/>
          <w:bCs/>
        </w:rPr>
        <w:t>GGC approved reduced Gen Medicine SLA cover on 8.25 PA basis with revised invoice processed for 2015-16. Recurring efficiency of £103k will be released.</w:t>
      </w:r>
    </w:p>
    <w:p w:rsidR="00F64E0F" w:rsidRPr="007467AB" w:rsidRDefault="00F64E0F" w:rsidP="00515DFD">
      <w:pPr>
        <w:pStyle w:val="BodyTextIndent"/>
        <w:numPr>
          <w:ilvl w:val="0"/>
          <w:numId w:val="10"/>
        </w:numPr>
        <w:rPr>
          <w:rFonts w:ascii="Arial" w:hAnsi="Arial" w:cs="Arial"/>
          <w:bCs/>
        </w:rPr>
      </w:pPr>
      <w:r w:rsidRPr="007467AB">
        <w:rPr>
          <w:rFonts w:ascii="Arial" w:hAnsi="Arial" w:cs="Arial"/>
          <w:bCs/>
        </w:rPr>
        <w:t>Cardiac Anaesthesi</w:t>
      </w:r>
      <w:r>
        <w:rPr>
          <w:rFonts w:ascii="Arial" w:hAnsi="Arial" w:cs="Arial"/>
          <w:bCs/>
        </w:rPr>
        <w:t>a WLI sessions reduced rate to</w:t>
      </w:r>
      <w:r w:rsidRPr="007467AB">
        <w:rPr>
          <w:rFonts w:ascii="Arial" w:hAnsi="Arial" w:cs="Arial"/>
          <w:bCs/>
        </w:rPr>
        <w:t xml:space="preserve"> be applied</w:t>
      </w:r>
      <w:r>
        <w:rPr>
          <w:rFonts w:ascii="Arial" w:hAnsi="Arial" w:cs="Arial"/>
          <w:bCs/>
        </w:rPr>
        <w:t xml:space="preserve"> although</w:t>
      </w:r>
      <w:r w:rsidRPr="007467AB">
        <w:rPr>
          <w:rFonts w:ascii="Arial" w:hAnsi="Arial" w:cs="Arial"/>
          <w:bCs/>
        </w:rPr>
        <w:t xml:space="preserve"> </w:t>
      </w:r>
      <w:r>
        <w:rPr>
          <w:rFonts w:ascii="Arial" w:hAnsi="Arial" w:cs="Arial"/>
          <w:bCs/>
        </w:rPr>
        <w:t>agreement has not yet been achieved</w:t>
      </w:r>
      <w:r w:rsidRPr="007467AB">
        <w:rPr>
          <w:rFonts w:ascii="Arial" w:hAnsi="Arial" w:cs="Arial"/>
          <w:bCs/>
        </w:rPr>
        <w:t>.</w:t>
      </w:r>
    </w:p>
    <w:p w:rsidR="00F64E0F" w:rsidRPr="002B6E78" w:rsidRDefault="00F64E0F" w:rsidP="00515DFD">
      <w:pPr>
        <w:pStyle w:val="BodyTextIndent"/>
        <w:ind w:left="1929"/>
        <w:rPr>
          <w:rFonts w:ascii="Arial" w:hAnsi="Arial" w:cs="Arial"/>
          <w:bCs/>
          <w:highlight w:val="yellow"/>
        </w:rPr>
      </w:pPr>
    </w:p>
    <w:p w:rsidR="00F64E0F" w:rsidRPr="007467AB" w:rsidRDefault="00F64E0F" w:rsidP="00515DFD">
      <w:pPr>
        <w:pStyle w:val="BodyTextIndent"/>
        <w:ind w:left="1209"/>
        <w:rPr>
          <w:rFonts w:ascii="Arial" w:hAnsi="Arial" w:cs="Arial"/>
          <w:bCs/>
        </w:rPr>
      </w:pPr>
      <w:r w:rsidRPr="007467AB">
        <w:rPr>
          <w:rFonts w:ascii="Arial" w:hAnsi="Arial" w:cs="Arial"/>
          <w:bCs/>
        </w:rPr>
        <w:t>Cardiac (£</w:t>
      </w:r>
      <w:r>
        <w:rPr>
          <w:rFonts w:ascii="Arial" w:hAnsi="Arial" w:cs="Arial"/>
          <w:bCs/>
        </w:rPr>
        <w:t>32</w:t>
      </w:r>
      <w:r w:rsidRPr="007467AB">
        <w:rPr>
          <w:rFonts w:ascii="Arial" w:hAnsi="Arial" w:cs="Arial"/>
          <w:bCs/>
        </w:rPr>
        <w:t>2k)</w:t>
      </w:r>
    </w:p>
    <w:p w:rsidR="00F64E0F" w:rsidRPr="007467AB" w:rsidRDefault="00F64E0F" w:rsidP="00515DFD">
      <w:pPr>
        <w:pStyle w:val="BodyTextIndent"/>
        <w:numPr>
          <w:ilvl w:val="0"/>
          <w:numId w:val="7"/>
        </w:numPr>
        <w:rPr>
          <w:rFonts w:ascii="Arial" w:hAnsi="Arial" w:cs="Arial"/>
          <w:bCs/>
        </w:rPr>
      </w:pPr>
      <w:r w:rsidRPr="007467AB">
        <w:rPr>
          <w:rFonts w:ascii="Arial" w:hAnsi="Arial" w:cs="Arial"/>
          <w:bCs/>
        </w:rPr>
        <w:t xml:space="preserve">Waiting list payments covering service gaps, sickness and post cover on non-clinical duties and reflecting a reduction on </w:t>
      </w:r>
      <w:r>
        <w:rPr>
          <w:rFonts w:ascii="Arial" w:hAnsi="Arial" w:cs="Arial"/>
          <w:bCs/>
        </w:rPr>
        <w:t>Dec</w:t>
      </w:r>
      <w:r w:rsidRPr="007467AB">
        <w:rPr>
          <w:rFonts w:ascii="Arial" w:hAnsi="Arial" w:cs="Arial"/>
          <w:bCs/>
        </w:rPr>
        <w:t>ember 2015</w:t>
      </w:r>
      <w:r>
        <w:rPr>
          <w:rFonts w:ascii="Arial" w:hAnsi="Arial" w:cs="Arial"/>
          <w:bCs/>
        </w:rPr>
        <w:t xml:space="preserve"> although this has now reached a plateau</w:t>
      </w:r>
      <w:r w:rsidRPr="007467AB">
        <w:rPr>
          <w:rFonts w:ascii="Arial" w:hAnsi="Arial" w:cs="Arial"/>
          <w:bCs/>
        </w:rPr>
        <w:t xml:space="preserve">; </w:t>
      </w:r>
    </w:p>
    <w:p w:rsidR="00F64E0F" w:rsidRPr="007467AB" w:rsidRDefault="00F64E0F" w:rsidP="00515DFD">
      <w:pPr>
        <w:pStyle w:val="BodyTextIndent"/>
        <w:numPr>
          <w:ilvl w:val="0"/>
          <w:numId w:val="7"/>
        </w:numPr>
        <w:rPr>
          <w:rFonts w:ascii="Arial" w:hAnsi="Arial" w:cs="Arial"/>
          <w:bCs/>
        </w:rPr>
      </w:pPr>
      <w:r w:rsidRPr="007467AB">
        <w:rPr>
          <w:rFonts w:ascii="Arial" w:hAnsi="Arial" w:cs="Arial"/>
          <w:bCs/>
        </w:rPr>
        <w:t xml:space="preserve">Junior doctor rotation pressure, dependent on experience of staff rotating and applied banding; </w:t>
      </w:r>
    </w:p>
    <w:p w:rsidR="00F64E0F" w:rsidRPr="007467AB" w:rsidRDefault="00F64E0F" w:rsidP="00515DFD">
      <w:pPr>
        <w:pStyle w:val="BodyTextIndent"/>
        <w:numPr>
          <w:ilvl w:val="0"/>
          <w:numId w:val="7"/>
        </w:numPr>
        <w:rPr>
          <w:rFonts w:ascii="Arial" w:hAnsi="Arial" w:cs="Arial"/>
          <w:bCs/>
        </w:rPr>
      </w:pPr>
      <w:r w:rsidRPr="007467AB">
        <w:rPr>
          <w:rFonts w:ascii="Arial" w:hAnsi="Arial" w:cs="Arial"/>
          <w:bCs/>
        </w:rPr>
        <w:t>Prior months cost pressure from agency cover used; and</w:t>
      </w:r>
    </w:p>
    <w:p w:rsidR="00F64E0F" w:rsidRPr="007467AB" w:rsidRDefault="00F64E0F" w:rsidP="00515DFD">
      <w:pPr>
        <w:pStyle w:val="BodyTextIndent"/>
        <w:numPr>
          <w:ilvl w:val="0"/>
          <w:numId w:val="7"/>
        </w:numPr>
        <w:rPr>
          <w:rFonts w:ascii="Arial" w:hAnsi="Arial" w:cs="Arial"/>
          <w:bCs/>
        </w:rPr>
      </w:pPr>
      <w:r w:rsidRPr="007467AB">
        <w:rPr>
          <w:rFonts w:ascii="Arial" w:hAnsi="Arial" w:cs="Arial"/>
          <w:bCs/>
        </w:rPr>
        <w:t>A review of historical Scottish Organ retrieval (SORT) to National organ retrieval service (NORS) and SNAHF budget in line with current funding profiles</w:t>
      </w:r>
      <w:r>
        <w:rPr>
          <w:rFonts w:ascii="Arial" w:hAnsi="Arial" w:cs="Arial"/>
          <w:bCs/>
        </w:rPr>
        <w:t xml:space="preserve"> within 2017-18 budget setting</w:t>
      </w:r>
      <w:r w:rsidRPr="007467AB">
        <w:rPr>
          <w:rFonts w:ascii="Arial" w:hAnsi="Arial" w:cs="Arial"/>
          <w:bCs/>
        </w:rPr>
        <w:t>.</w:t>
      </w:r>
    </w:p>
    <w:p w:rsidR="00F64E0F" w:rsidRPr="002B6E78" w:rsidRDefault="00F64E0F" w:rsidP="00515DFD">
      <w:pPr>
        <w:pStyle w:val="BodyTextIndent"/>
        <w:ind w:left="1929"/>
        <w:rPr>
          <w:rFonts w:ascii="Arial" w:hAnsi="Arial" w:cs="Arial"/>
          <w:bCs/>
          <w:highlight w:val="yellow"/>
        </w:rPr>
      </w:pPr>
    </w:p>
    <w:p w:rsidR="00F64E0F" w:rsidRPr="007467AB" w:rsidRDefault="00F64E0F" w:rsidP="00515DFD">
      <w:pPr>
        <w:pStyle w:val="BodyTextIndent"/>
        <w:rPr>
          <w:rFonts w:ascii="Arial" w:hAnsi="Arial" w:cs="Arial"/>
          <w:bCs/>
        </w:rPr>
      </w:pPr>
      <w:r w:rsidRPr="007467AB">
        <w:rPr>
          <w:rFonts w:ascii="Arial" w:hAnsi="Arial" w:cs="Arial"/>
          <w:bCs/>
        </w:rPr>
        <w:t xml:space="preserve">Further detailed </w:t>
      </w:r>
      <w:r>
        <w:rPr>
          <w:rFonts w:ascii="Arial" w:hAnsi="Arial" w:cs="Arial"/>
          <w:bCs/>
        </w:rPr>
        <w:t xml:space="preserve">work on the draft WLI policy and </w:t>
      </w:r>
      <w:r w:rsidRPr="007467AB">
        <w:rPr>
          <w:rFonts w:ascii="Arial" w:hAnsi="Arial" w:cs="Arial"/>
          <w:bCs/>
        </w:rPr>
        <w:t xml:space="preserve">on the key points </w:t>
      </w:r>
      <w:r>
        <w:rPr>
          <w:rFonts w:ascii="Arial" w:hAnsi="Arial" w:cs="Arial"/>
          <w:bCs/>
        </w:rPr>
        <w:t xml:space="preserve">is required </w:t>
      </w:r>
      <w:r w:rsidRPr="007467AB">
        <w:rPr>
          <w:rFonts w:ascii="Arial" w:hAnsi="Arial" w:cs="Arial"/>
          <w:bCs/>
        </w:rPr>
        <w:t>prior to any wider circulation at this stage</w:t>
      </w:r>
      <w:r>
        <w:rPr>
          <w:rFonts w:ascii="Arial" w:hAnsi="Arial" w:cs="Arial"/>
          <w:bCs/>
        </w:rPr>
        <w:t xml:space="preserve"> for approval</w:t>
      </w:r>
      <w:r w:rsidRPr="007467AB">
        <w:rPr>
          <w:rFonts w:ascii="Arial" w:hAnsi="Arial" w:cs="Arial"/>
          <w:bCs/>
        </w:rPr>
        <w:t xml:space="preserve">. It is </w:t>
      </w:r>
      <w:r>
        <w:rPr>
          <w:rFonts w:ascii="Arial" w:hAnsi="Arial" w:cs="Arial"/>
          <w:bCs/>
        </w:rPr>
        <w:t xml:space="preserve">however </w:t>
      </w:r>
      <w:r w:rsidRPr="007467AB">
        <w:rPr>
          <w:rFonts w:ascii="Arial" w:hAnsi="Arial" w:cs="Arial"/>
          <w:bCs/>
        </w:rPr>
        <w:t>anticipated this will reduce waiting list payments further.</w:t>
      </w:r>
    </w:p>
    <w:p w:rsidR="00F64E0F" w:rsidRPr="002B6E78" w:rsidRDefault="00F64E0F" w:rsidP="00515DFD">
      <w:pPr>
        <w:pStyle w:val="BodyTextIndent"/>
        <w:ind w:left="0"/>
        <w:rPr>
          <w:rFonts w:ascii="Arial" w:hAnsi="Arial" w:cs="Arial"/>
          <w:bCs/>
          <w:highlight w:val="yellow"/>
        </w:rPr>
      </w:pPr>
    </w:p>
    <w:p w:rsidR="00F64E0F" w:rsidRDefault="00F64E0F" w:rsidP="00515DFD">
      <w:pPr>
        <w:pStyle w:val="BodyTextIndent"/>
        <w:rPr>
          <w:rFonts w:ascii="Arial" w:hAnsi="Arial" w:cs="Arial"/>
          <w:bCs/>
        </w:rPr>
      </w:pPr>
      <w:r w:rsidRPr="007467AB">
        <w:rPr>
          <w:rFonts w:ascii="Arial" w:hAnsi="Arial" w:cs="Arial"/>
          <w:bCs/>
        </w:rPr>
        <w:t>The Surgical Division pressures are partly offset by an under spend within General</w:t>
      </w:r>
      <w:r>
        <w:rPr>
          <w:rFonts w:ascii="Arial" w:hAnsi="Arial" w:cs="Arial"/>
          <w:bCs/>
        </w:rPr>
        <w:t xml:space="preserve"> Surgery </w:t>
      </w:r>
      <w:r w:rsidRPr="007467AB">
        <w:rPr>
          <w:rFonts w:ascii="Arial" w:hAnsi="Arial" w:cs="Arial"/>
          <w:bCs/>
        </w:rPr>
        <w:t xml:space="preserve"> and Plastics medical of £</w:t>
      </w:r>
      <w:r>
        <w:rPr>
          <w:rFonts w:ascii="Arial" w:hAnsi="Arial" w:cs="Arial"/>
          <w:bCs/>
        </w:rPr>
        <w:t>350</w:t>
      </w:r>
      <w:r w:rsidRPr="007467AB">
        <w:rPr>
          <w:rFonts w:ascii="Arial" w:hAnsi="Arial" w:cs="Arial"/>
          <w:bCs/>
        </w:rPr>
        <w:t xml:space="preserve">k as a result of activity behind original plan although there is additional funding due in relation to </w:t>
      </w:r>
      <w:r>
        <w:rPr>
          <w:rFonts w:ascii="Arial" w:hAnsi="Arial" w:cs="Arial"/>
          <w:bCs/>
        </w:rPr>
        <w:t xml:space="preserve"> various </w:t>
      </w:r>
      <w:r w:rsidRPr="007467AB">
        <w:rPr>
          <w:rFonts w:ascii="Arial" w:hAnsi="Arial" w:cs="Arial"/>
          <w:bCs/>
        </w:rPr>
        <w:t xml:space="preserve">weekend General Surgery sessions on receipt of funding. </w:t>
      </w:r>
    </w:p>
    <w:p w:rsidR="00515DFD" w:rsidRPr="002B6E78" w:rsidRDefault="00515DFD" w:rsidP="00515DFD">
      <w:pPr>
        <w:pStyle w:val="BodyTextIndent"/>
        <w:ind w:left="0"/>
        <w:rPr>
          <w:rFonts w:ascii="Arial" w:hAnsi="Arial" w:cs="Arial"/>
          <w:bCs/>
          <w:highlight w:val="yellow"/>
        </w:rPr>
      </w:pPr>
    </w:p>
    <w:p w:rsidR="00F64E0F" w:rsidRPr="00F630F4" w:rsidRDefault="00F64E0F" w:rsidP="00515DFD">
      <w:pPr>
        <w:pStyle w:val="BodyTextIndent"/>
        <w:numPr>
          <w:ilvl w:val="0"/>
          <w:numId w:val="11"/>
        </w:numPr>
        <w:rPr>
          <w:rFonts w:ascii="Arial" w:hAnsi="Arial" w:cs="Arial"/>
          <w:b/>
          <w:bCs/>
        </w:rPr>
      </w:pPr>
      <w:r w:rsidRPr="00F630F4">
        <w:rPr>
          <w:rFonts w:ascii="Arial" w:hAnsi="Arial" w:cs="Arial"/>
          <w:b/>
          <w:bCs/>
        </w:rPr>
        <w:t xml:space="preserve">Nursing </w:t>
      </w:r>
    </w:p>
    <w:p w:rsidR="00F64E0F" w:rsidRPr="00F630F4" w:rsidRDefault="00F64E0F" w:rsidP="00515DFD">
      <w:pPr>
        <w:pStyle w:val="BodyTextIndent"/>
        <w:ind w:left="1209"/>
        <w:rPr>
          <w:rFonts w:ascii="Arial" w:hAnsi="Arial" w:cs="Arial"/>
          <w:bCs/>
        </w:rPr>
      </w:pPr>
      <w:r w:rsidRPr="00F630F4">
        <w:rPr>
          <w:rFonts w:ascii="Arial" w:hAnsi="Arial" w:cs="Arial"/>
          <w:bCs/>
        </w:rPr>
        <w:t>There is an overspend in nursing year to date (£</w:t>
      </w:r>
      <w:r>
        <w:rPr>
          <w:rFonts w:ascii="Arial" w:hAnsi="Arial" w:cs="Arial"/>
          <w:bCs/>
        </w:rPr>
        <w:t>216</w:t>
      </w:r>
      <w:r w:rsidRPr="00F630F4">
        <w:rPr>
          <w:rFonts w:ascii="Arial" w:hAnsi="Arial" w:cs="Arial"/>
          <w:bCs/>
        </w:rPr>
        <w:t xml:space="preserve">k) with an in month movement of </w:t>
      </w:r>
      <w:r>
        <w:rPr>
          <w:rFonts w:ascii="Arial" w:hAnsi="Arial" w:cs="Arial"/>
          <w:bCs/>
        </w:rPr>
        <w:t>(</w:t>
      </w:r>
      <w:r w:rsidRPr="00F630F4">
        <w:rPr>
          <w:rFonts w:ascii="Arial" w:hAnsi="Arial" w:cs="Arial"/>
          <w:bCs/>
        </w:rPr>
        <w:t>£</w:t>
      </w:r>
      <w:r>
        <w:rPr>
          <w:rFonts w:ascii="Arial" w:hAnsi="Arial" w:cs="Arial"/>
          <w:bCs/>
        </w:rPr>
        <w:t>6</w:t>
      </w:r>
      <w:r w:rsidRPr="00F630F4">
        <w:rPr>
          <w:rFonts w:ascii="Arial" w:hAnsi="Arial" w:cs="Arial"/>
          <w:bCs/>
        </w:rPr>
        <w:t>k</w:t>
      </w:r>
      <w:r>
        <w:rPr>
          <w:rFonts w:ascii="Arial" w:hAnsi="Arial" w:cs="Arial"/>
          <w:bCs/>
        </w:rPr>
        <w:t>)</w:t>
      </w:r>
      <w:r w:rsidRPr="00F630F4">
        <w:rPr>
          <w:rFonts w:ascii="Arial" w:hAnsi="Arial" w:cs="Arial"/>
          <w:bCs/>
        </w:rPr>
        <w:t xml:space="preserve"> </w:t>
      </w:r>
      <w:r>
        <w:rPr>
          <w:rFonts w:ascii="Arial" w:hAnsi="Arial" w:cs="Arial"/>
          <w:bCs/>
        </w:rPr>
        <w:t>adverse</w:t>
      </w:r>
      <w:r w:rsidRPr="00F630F4">
        <w:rPr>
          <w:rFonts w:ascii="Arial" w:hAnsi="Arial" w:cs="Arial"/>
          <w:bCs/>
        </w:rPr>
        <w:t>.</w:t>
      </w:r>
    </w:p>
    <w:p w:rsidR="00F64E0F" w:rsidRPr="00F630F4" w:rsidRDefault="00F64E0F" w:rsidP="00515DFD">
      <w:pPr>
        <w:pStyle w:val="BodyTextIndent"/>
        <w:ind w:left="1209"/>
        <w:rPr>
          <w:rFonts w:ascii="Arial" w:hAnsi="Arial" w:cs="Arial"/>
          <w:bCs/>
        </w:rPr>
      </w:pPr>
    </w:p>
    <w:p w:rsidR="00F64E0F" w:rsidRPr="00F630F4" w:rsidRDefault="00F64E0F" w:rsidP="00515DFD">
      <w:pPr>
        <w:pStyle w:val="BodyTextIndent"/>
        <w:ind w:left="1209"/>
        <w:rPr>
          <w:rFonts w:ascii="Arial" w:hAnsi="Arial" w:cs="Arial"/>
          <w:bCs/>
        </w:rPr>
      </w:pPr>
      <w:r w:rsidRPr="00F630F4">
        <w:rPr>
          <w:rFonts w:ascii="Arial" w:hAnsi="Arial" w:cs="Arial"/>
          <w:bCs/>
        </w:rPr>
        <w:t>The Surgical Division nursing p</w:t>
      </w:r>
      <w:r>
        <w:rPr>
          <w:rFonts w:ascii="Arial" w:hAnsi="Arial" w:cs="Arial"/>
          <w:bCs/>
        </w:rPr>
        <w:t>osition reflects a favourable £224</w:t>
      </w:r>
      <w:r w:rsidRPr="00F630F4">
        <w:rPr>
          <w:rFonts w:ascii="Arial" w:hAnsi="Arial" w:cs="Arial"/>
          <w:bCs/>
        </w:rPr>
        <w:t>k under spend</w:t>
      </w:r>
      <w:r>
        <w:rPr>
          <w:rFonts w:ascii="Arial" w:hAnsi="Arial" w:cs="Arial"/>
          <w:bCs/>
        </w:rPr>
        <w:t xml:space="preserve"> this is driven by a positive £89</w:t>
      </w:r>
      <w:r w:rsidRPr="00F630F4">
        <w:rPr>
          <w:rFonts w:ascii="Arial" w:hAnsi="Arial" w:cs="Arial"/>
          <w:bCs/>
        </w:rPr>
        <w:t xml:space="preserve">k variance position </w:t>
      </w:r>
      <w:r w:rsidRPr="00F630F4">
        <w:rPr>
          <w:rFonts w:ascii="Arial" w:hAnsi="Arial" w:cs="Arial"/>
          <w:bCs/>
        </w:rPr>
        <w:lastRenderedPageBreak/>
        <w:t>within Critical Care as a result of vacancies and a comparative sp</w:t>
      </w:r>
      <w:r>
        <w:rPr>
          <w:rFonts w:ascii="Arial" w:hAnsi="Arial" w:cs="Arial"/>
          <w:bCs/>
        </w:rPr>
        <w:t>end reduction of £273</w:t>
      </w:r>
      <w:r w:rsidRPr="00F630F4">
        <w:rPr>
          <w:rFonts w:ascii="Arial" w:hAnsi="Arial" w:cs="Arial"/>
          <w:bCs/>
        </w:rPr>
        <w:t xml:space="preserve">k on 2015-16 against the full year efficiency target </w:t>
      </w:r>
      <w:r>
        <w:rPr>
          <w:rFonts w:ascii="Arial" w:hAnsi="Arial" w:cs="Arial"/>
          <w:bCs/>
        </w:rPr>
        <w:t>set at</w:t>
      </w:r>
      <w:r w:rsidRPr="00F630F4">
        <w:rPr>
          <w:rFonts w:ascii="Arial" w:hAnsi="Arial" w:cs="Arial"/>
          <w:bCs/>
        </w:rPr>
        <w:t xml:space="preserve"> £93k. The remaining variance is a reflection of vacancies within outpatients; with a £</w:t>
      </w:r>
      <w:r>
        <w:rPr>
          <w:rFonts w:ascii="Arial" w:hAnsi="Arial" w:cs="Arial"/>
          <w:bCs/>
        </w:rPr>
        <w:t>103</w:t>
      </w:r>
      <w:r w:rsidRPr="00F630F4">
        <w:rPr>
          <w:rFonts w:ascii="Arial" w:hAnsi="Arial" w:cs="Arial"/>
          <w:bCs/>
        </w:rPr>
        <w:t>k positive position</w:t>
      </w:r>
      <w:r>
        <w:rPr>
          <w:rFonts w:ascii="Arial" w:hAnsi="Arial" w:cs="Arial"/>
          <w:bCs/>
        </w:rPr>
        <w:t xml:space="preserve"> however there is staff cost categorised under clinical support staffing which reduces the outpatients underspend to £75k</w:t>
      </w:r>
    </w:p>
    <w:p w:rsidR="00F64E0F" w:rsidRPr="00F630F4" w:rsidRDefault="00F64E0F" w:rsidP="00515DFD">
      <w:pPr>
        <w:pStyle w:val="BodyTextIndent"/>
        <w:ind w:left="1209"/>
        <w:rPr>
          <w:rFonts w:ascii="Arial" w:hAnsi="Arial" w:cs="Arial"/>
          <w:bCs/>
        </w:rPr>
      </w:pPr>
    </w:p>
    <w:p w:rsidR="00F64E0F" w:rsidRPr="00F630F4" w:rsidRDefault="00F64E0F" w:rsidP="00515DFD">
      <w:pPr>
        <w:pStyle w:val="BodyTextIndent"/>
        <w:ind w:left="1209"/>
        <w:rPr>
          <w:rFonts w:ascii="Arial" w:hAnsi="Arial" w:cs="Arial"/>
          <w:bCs/>
        </w:rPr>
      </w:pPr>
      <w:r w:rsidRPr="00F630F4">
        <w:rPr>
          <w:rFonts w:ascii="Arial" w:hAnsi="Arial" w:cs="Arial"/>
          <w:bCs/>
        </w:rPr>
        <w:t>Within Regional &amp; National Medicine there continues to be a pressure of (£</w:t>
      </w:r>
      <w:r>
        <w:rPr>
          <w:rFonts w:ascii="Arial" w:hAnsi="Arial" w:cs="Arial"/>
          <w:bCs/>
        </w:rPr>
        <w:t>491</w:t>
      </w:r>
      <w:r w:rsidRPr="00F630F4">
        <w:rPr>
          <w:rFonts w:ascii="Arial" w:hAnsi="Arial" w:cs="Arial"/>
          <w:bCs/>
        </w:rPr>
        <w:t>k), as previously reported the Regional Division nursing position paper</w:t>
      </w:r>
      <w:r>
        <w:rPr>
          <w:rFonts w:ascii="Arial" w:hAnsi="Arial" w:cs="Arial"/>
          <w:bCs/>
        </w:rPr>
        <w:t>, which is being reviewed and update to reflect the current year</w:t>
      </w:r>
      <w:r w:rsidRPr="00F630F4">
        <w:rPr>
          <w:rFonts w:ascii="Arial" w:hAnsi="Arial" w:cs="Arial"/>
          <w:bCs/>
        </w:rPr>
        <w:t xml:space="preserve"> </w:t>
      </w:r>
      <w:r>
        <w:rPr>
          <w:rFonts w:ascii="Arial" w:hAnsi="Arial" w:cs="Arial"/>
          <w:bCs/>
        </w:rPr>
        <w:t xml:space="preserve">position, is </w:t>
      </w:r>
      <w:r w:rsidRPr="00F630F4">
        <w:rPr>
          <w:rFonts w:ascii="Arial" w:hAnsi="Arial" w:cs="Arial"/>
          <w:bCs/>
        </w:rPr>
        <w:t>to be presented at the Performance and</w:t>
      </w:r>
      <w:r>
        <w:rPr>
          <w:rFonts w:ascii="Arial" w:hAnsi="Arial" w:cs="Arial"/>
          <w:bCs/>
        </w:rPr>
        <w:t xml:space="preserve"> planning meeting</w:t>
      </w:r>
      <w:r w:rsidRPr="00F630F4">
        <w:rPr>
          <w:rFonts w:ascii="Arial" w:hAnsi="Arial" w:cs="Arial"/>
          <w:bCs/>
        </w:rPr>
        <w:t xml:space="preserve"> a</w:t>
      </w:r>
      <w:r>
        <w:rPr>
          <w:rFonts w:ascii="Arial" w:hAnsi="Arial" w:cs="Arial"/>
          <w:bCs/>
        </w:rPr>
        <w:t>nd incorporates a</w:t>
      </w:r>
      <w:r w:rsidRPr="00F630F4">
        <w:rPr>
          <w:rFonts w:ascii="Arial" w:hAnsi="Arial" w:cs="Arial"/>
          <w:bCs/>
        </w:rPr>
        <w:t xml:space="preserve"> detailed action plan to take forward key points to address this pressure</w:t>
      </w:r>
      <w:r>
        <w:rPr>
          <w:rFonts w:ascii="Arial" w:hAnsi="Arial" w:cs="Arial"/>
          <w:bCs/>
        </w:rPr>
        <w:t xml:space="preserve"> some of which will be re-dressed through the 2017-18 formal budget process</w:t>
      </w:r>
      <w:r w:rsidRPr="00F630F4">
        <w:rPr>
          <w:rFonts w:ascii="Arial" w:hAnsi="Arial" w:cs="Arial"/>
          <w:bCs/>
        </w:rPr>
        <w:t>.</w:t>
      </w:r>
    </w:p>
    <w:p w:rsidR="00F64E0F" w:rsidRPr="00F630F4" w:rsidRDefault="00F64E0F" w:rsidP="00515DFD">
      <w:pPr>
        <w:pStyle w:val="BodyTextIndent"/>
        <w:ind w:left="0"/>
        <w:rPr>
          <w:rFonts w:ascii="Arial" w:hAnsi="Arial" w:cs="Arial"/>
          <w:bCs/>
        </w:rPr>
      </w:pPr>
    </w:p>
    <w:p w:rsidR="00F64E0F" w:rsidRPr="00F630F4" w:rsidRDefault="00F64E0F" w:rsidP="00515DFD">
      <w:pPr>
        <w:pStyle w:val="BodyTextIndent"/>
        <w:ind w:left="1209"/>
        <w:rPr>
          <w:rFonts w:ascii="Arial" w:hAnsi="Arial" w:cs="Arial"/>
          <w:bCs/>
        </w:rPr>
      </w:pPr>
      <w:r w:rsidRPr="00F630F4">
        <w:rPr>
          <w:rFonts w:ascii="Arial" w:hAnsi="Arial" w:cs="Arial"/>
          <w:bCs/>
        </w:rPr>
        <w:t>Corporate nursing budget continues with a positive variance of £</w:t>
      </w:r>
      <w:r>
        <w:rPr>
          <w:rFonts w:ascii="Arial" w:hAnsi="Arial" w:cs="Arial"/>
          <w:bCs/>
        </w:rPr>
        <w:t>48</w:t>
      </w:r>
      <w:r w:rsidRPr="00F630F4">
        <w:rPr>
          <w:rFonts w:ascii="Arial" w:hAnsi="Arial" w:cs="Arial"/>
          <w:bCs/>
        </w:rPr>
        <w:t xml:space="preserve">k, </w:t>
      </w:r>
      <w:r>
        <w:rPr>
          <w:rFonts w:ascii="Arial" w:hAnsi="Arial" w:cs="Arial"/>
          <w:bCs/>
        </w:rPr>
        <w:t xml:space="preserve">again associated </w:t>
      </w:r>
      <w:r w:rsidRPr="00F630F4">
        <w:rPr>
          <w:rFonts w:ascii="Arial" w:hAnsi="Arial" w:cs="Arial"/>
          <w:bCs/>
        </w:rPr>
        <w:t>with prior month vacancy within manual handling post</w:t>
      </w:r>
      <w:r>
        <w:rPr>
          <w:rFonts w:ascii="Arial" w:hAnsi="Arial" w:cs="Arial"/>
          <w:bCs/>
        </w:rPr>
        <w:t>, although some research &amp; development nursing budget allocation to be applied</w:t>
      </w:r>
      <w:r w:rsidRPr="00F630F4">
        <w:rPr>
          <w:rFonts w:ascii="Arial" w:hAnsi="Arial" w:cs="Arial"/>
          <w:bCs/>
        </w:rPr>
        <w:t xml:space="preserve">.   </w:t>
      </w:r>
    </w:p>
    <w:p w:rsidR="00F64E0F" w:rsidRPr="002B6E78" w:rsidRDefault="00F64E0F" w:rsidP="00515DFD">
      <w:pPr>
        <w:pStyle w:val="BodyTextIndent"/>
        <w:ind w:left="0"/>
        <w:rPr>
          <w:rFonts w:ascii="Arial" w:hAnsi="Arial" w:cs="Arial"/>
          <w:bCs/>
          <w:highlight w:val="yellow"/>
        </w:rPr>
      </w:pPr>
    </w:p>
    <w:p w:rsidR="00F64E0F" w:rsidRPr="00F630F4" w:rsidRDefault="00F64E0F" w:rsidP="00515DFD">
      <w:pPr>
        <w:pStyle w:val="BodyTextIndent"/>
        <w:numPr>
          <w:ilvl w:val="0"/>
          <w:numId w:val="12"/>
        </w:numPr>
        <w:rPr>
          <w:rFonts w:ascii="Arial" w:hAnsi="Arial" w:cs="Arial"/>
          <w:b/>
          <w:bCs/>
        </w:rPr>
      </w:pPr>
      <w:r w:rsidRPr="00F630F4">
        <w:rPr>
          <w:rFonts w:ascii="Arial" w:hAnsi="Arial" w:cs="Arial"/>
          <w:b/>
          <w:bCs/>
        </w:rPr>
        <w:t>Clinical Support</w:t>
      </w:r>
    </w:p>
    <w:p w:rsidR="00F64E0F" w:rsidRPr="00F630F4" w:rsidRDefault="00F64E0F" w:rsidP="00515DFD">
      <w:pPr>
        <w:pStyle w:val="BodyTextIndent"/>
        <w:ind w:left="1209"/>
        <w:rPr>
          <w:rFonts w:ascii="Arial" w:hAnsi="Arial" w:cs="Arial"/>
          <w:bCs/>
        </w:rPr>
      </w:pPr>
      <w:r w:rsidRPr="00F630F4">
        <w:rPr>
          <w:rFonts w:ascii="Arial" w:hAnsi="Arial" w:cs="Arial"/>
          <w:bCs/>
        </w:rPr>
        <w:t>The position reflects a favourable variance of £</w:t>
      </w:r>
      <w:r>
        <w:rPr>
          <w:rFonts w:ascii="Arial" w:hAnsi="Arial" w:cs="Arial"/>
          <w:bCs/>
        </w:rPr>
        <w:t>338</w:t>
      </w:r>
      <w:r w:rsidRPr="00F630F4">
        <w:rPr>
          <w:rFonts w:ascii="Arial" w:hAnsi="Arial" w:cs="Arial"/>
          <w:bCs/>
        </w:rPr>
        <w:t>k ytd with a favourable variance of £</w:t>
      </w:r>
      <w:r>
        <w:rPr>
          <w:rFonts w:ascii="Arial" w:hAnsi="Arial" w:cs="Arial"/>
          <w:bCs/>
        </w:rPr>
        <w:t>24</w:t>
      </w:r>
      <w:r w:rsidRPr="00F630F4">
        <w:rPr>
          <w:rFonts w:ascii="Arial" w:hAnsi="Arial" w:cs="Arial"/>
          <w:bCs/>
        </w:rPr>
        <w:t>k in month both the in-month and ytd position continue to be due to:</w:t>
      </w:r>
    </w:p>
    <w:p w:rsidR="00F64E0F" w:rsidRPr="00F630F4" w:rsidRDefault="00F64E0F" w:rsidP="00515DFD">
      <w:pPr>
        <w:pStyle w:val="BodyTextIndent"/>
        <w:ind w:left="0"/>
        <w:rPr>
          <w:rFonts w:ascii="Arial" w:hAnsi="Arial" w:cs="Arial"/>
          <w:bCs/>
        </w:rPr>
      </w:pPr>
    </w:p>
    <w:p w:rsidR="00F64E0F" w:rsidRDefault="00F64E0F" w:rsidP="00515DFD">
      <w:pPr>
        <w:pStyle w:val="BodyTextIndent"/>
        <w:numPr>
          <w:ilvl w:val="1"/>
          <w:numId w:val="13"/>
        </w:numPr>
        <w:tabs>
          <w:tab w:val="clear" w:pos="1440"/>
          <w:tab w:val="num" w:pos="1980"/>
        </w:tabs>
        <w:ind w:left="1980"/>
        <w:rPr>
          <w:rFonts w:ascii="Arial" w:hAnsi="Arial" w:cs="Arial"/>
          <w:bCs/>
        </w:rPr>
      </w:pPr>
      <w:r w:rsidRPr="00F630F4">
        <w:rPr>
          <w:rFonts w:ascii="Arial" w:hAnsi="Arial" w:cs="Arial"/>
          <w:bCs/>
        </w:rPr>
        <w:t>Perfusion incremental drift funding</w:t>
      </w:r>
      <w:r>
        <w:rPr>
          <w:rFonts w:ascii="Arial" w:hAnsi="Arial" w:cs="Arial"/>
          <w:bCs/>
        </w:rPr>
        <w:t xml:space="preserve"> not fully utilised</w:t>
      </w:r>
      <w:r w:rsidRPr="00F630F4">
        <w:rPr>
          <w:rFonts w:ascii="Arial" w:hAnsi="Arial" w:cs="Arial"/>
          <w:bCs/>
        </w:rPr>
        <w:t>;</w:t>
      </w:r>
      <w:r>
        <w:rPr>
          <w:rFonts w:ascii="Arial" w:hAnsi="Arial" w:cs="Arial"/>
          <w:bCs/>
        </w:rPr>
        <w:t xml:space="preserve"> and vacant hours in place</w:t>
      </w:r>
    </w:p>
    <w:p w:rsidR="00F64E0F" w:rsidRDefault="00F64E0F" w:rsidP="00515DFD">
      <w:pPr>
        <w:pStyle w:val="BodyTextIndent"/>
        <w:numPr>
          <w:ilvl w:val="1"/>
          <w:numId w:val="13"/>
        </w:numPr>
        <w:tabs>
          <w:tab w:val="clear" w:pos="1440"/>
          <w:tab w:val="num" w:pos="1980"/>
        </w:tabs>
        <w:ind w:left="1980"/>
        <w:rPr>
          <w:rFonts w:ascii="Arial" w:hAnsi="Arial" w:cs="Arial"/>
          <w:bCs/>
        </w:rPr>
      </w:pPr>
      <w:r>
        <w:rPr>
          <w:rFonts w:ascii="Arial" w:hAnsi="Arial" w:cs="Arial"/>
          <w:bCs/>
        </w:rPr>
        <w:t>Theatre vacancies currently in place, however there is budget within clinical support that offsets some Theatre staff costs against nursing</w:t>
      </w:r>
    </w:p>
    <w:p w:rsidR="00F64E0F" w:rsidRPr="00F630F4" w:rsidRDefault="00F64E0F" w:rsidP="00515DFD">
      <w:pPr>
        <w:pStyle w:val="BodyTextIndent"/>
        <w:numPr>
          <w:ilvl w:val="1"/>
          <w:numId w:val="13"/>
        </w:numPr>
        <w:tabs>
          <w:tab w:val="clear" w:pos="1440"/>
          <w:tab w:val="num" w:pos="1980"/>
        </w:tabs>
        <w:ind w:left="1980"/>
        <w:rPr>
          <w:rFonts w:ascii="Arial" w:hAnsi="Arial" w:cs="Arial"/>
          <w:bCs/>
        </w:rPr>
      </w:pPr>
      <w:r>
        <w:rPr>
          <w:rFonts w:ascii="Arial" w:hAnsi="Arial" w:cs="Arial"/>
          <w:bCs/>
        </w:rPr>
        <w:t>Orthopaedic Research nurse prior vacancy</w:t>
      </w:r>
    </w:p>
    <w:p w:rsidR="00F64E0F" w:rsidRPr="00F630F4" w:rsidRDefault="00F64E0F" w:rsidP="00515DFD">
      <w:pPr>
        <w:pStyle w:val="BodyTextIndent"/>
        <w:numPr>
          <w:ilvl w:val="1"/>
          <w:numId w:val="13"/>
        </w:numPr>
        <w:tabs>
          <w:tab w:val="clear" w:pos="1440"/>
          <w:tab w:val="num" w:pos="1980"/>
        </w:tabs>
        <w:ind w:left="1980"/>
        <w:rPr>
          <w:rFonts w:ascii="Arial" w:hAnsi="Arial" w:cs="Arial"/>
          <w:bCs/>
        </w:rPr>
      </w:pPr>
      <w:r w:rsidRPr="00F630F4">
        <w:rPr>
          <w:rFonts w:ascii="Arial" w:hAnsi="Arial" w:cs="Arial"/>
          <w:bCs/>
        </w:rPr>
        <w:t>Radiology General positive variance in agency, on-call and vacancies; and</w:t>
      </w:r>
    </w:p>
    <w:p w:rsidR="00F64E0F" w:rsidRDefault="00F64E0F" w:rsidP="00515DFD">
      <w:pPr>
        <w:pStyle w:val="BodyTextIndent"/>
        <w:numPr>
          <w:ilvl w:val="1"/>
          <w:numId w:val="13"/>
        </w:numPr>
        <w:tabs>
          <w:tab w:val="clear" w:pos="1440"/>
          <w:tab w:val="num" w:pos="1980"/>
        </w:tabs>
        <w:ind w:left="1980"/>
        <w:rPr>
          <w:rFonts w:ascii="Arial" w:hAnsi="Arial" w:cs="Arial"/>
          <w:bCs/>
        </w:rPr>
      </w:pPr>
      <w:r w:rsidRPr="00F630F4">
        <w:rPr>
          <w:rFonts w:ascii="Arial" w:hAnsi="Arial" w:cs="Arial"/>
          <w:bCs/>
        </w:rPr>
        <w:t>Rehabilitation underspend from prior vacancies</w:t>
      </w:r>
    </w:p>
    <w:p w:rsidR="00F64E0F" w:rsidRDefault="00F64E0F" w:rsidP="00515DFD">
      <w:pPr>
        <w:pStyle w:val="BodyTextIndent"/>
        <w:numPr>
          <w:ilvl w:val="1"/>
          <w:numId w:val="13"/>
        </w:numPr>
        <w:tabs>
          <w:tab w:val="clear" w:pos="1440"/>
          <w:tab w:val="num" w:pos="1980"/>
        </w:tabs>
        <w:ind w:left="1980"/>
        <w:rPr>
          <w:rFonts w:ascii="Arial" w:hAnsi="Arial" w:cs="Arial"/>
          <w:bCs/>
        </w:rPr>
      </w:pPr>
      <w:r>
        <w:rPr>
          <w:rFonts w:ascii="Arial" w:hAnsi="Arial" w:cs="Arial"/>
          <w:bCs/>
        </w:rPr>
        <w:t>Medical Physics Band 6 positive variance</w:t>
      </w:r>
    </w:p>
    <w:p w:rsidR="00F64E0F" w:rsidRPr="00F630F4" w:rsidRDefault="00F64E0F" w:rsidP="00515DFD">
      <w:pPr>
        <w:pStyle w:val="BodyTextIndent"/>
        <w:numPr>
          <w:ilvl w:val="1"/>
          <w:numId w:val="13"/>
        </w:numPr>
        <w:tabs>
          <w:tab w:val="clear" w:pos="1440"/>
          <w:tab w:val="num" w:pos="1980"/>
        </w:tabs>
        <w:ind w:left="1980"/>
        <w:rPr>
          <w:rFonts w:ascii="Arial" w:hAnsi="Arial" w:cs="Arial"/>
          <w:bCs/>
        </w:rPr>
      </w:pPr>
      <w:r>
        <w:rPr>
          <w:rFonts w:ascii="Arial" w:hAnsi="Arial" w:cs="Arial"/>
          <w:bCs/>
        </w:rPr>
        <w:t>The above positive variances are partly offset by pressures in both Clinical Psychology with funding release managed at year-end, Haematology pay protection and Cardiac Physiology budget release on funding receipt for NES trainee post and SACC’s post</w:t>
      </w:r>
    </w:p>
    <w:p w:rsidR="00F64E0F" w:rsidRPr="00F630F4" w:rsidRDefault="00F64E0F" w:rsidP="00515DFD">
      <w:pPr>
        <w:pStyle w:val="BodyTextIndent"/>
        <w:ind w:left="0"/>
        <w:rPr>
          <w:rFonts w:ascii="Arial" w:hAnsi="Arial" w:cs="Arial"/>
          <w:bCs/>
        </w:rPr>
      </w:pPr>
    </w:p>
    <w:p w:rsidR="00F64E0F" w:rsidRPr="00F630F4" w:rsidRDefault="00F64E0F" w:rsidP="00515DFD">
      <w:pPr>
        <w:pStyle w:val="BodyTextIndent"/>
        <w:numPr>
          <w:ilvl w:val="0"/>
          <w:numId w:val="12"/>
        </w:numPr>
        <w:rPr>
          <w:rFonts w:ascii="Arial" w:hAnsi="Arial" w:cs="Arial"/>
          <w:b/>
          <w:bCs/>
        </w:rPr>
      </w:pPr>
      <w:r w:rsidRPr="00F630F4">
        <w:rPr>
          <w:rFonts w:ascii="Arial" w:hAnsi="Arial" w:cs="Arial"/>
          <w:b/>
          <w:bCs/>
        </w:rPr>
        <w:t xml:space="preserve">Non-clinical Support </w:t>
      </w:r>
    </w:p>
    <w:p w:rsidR="00F64E0F" w:rsidRPr="00F630F4" w:rsidRDefault="00F64E0F" w:rsidP="00515DFD">
      <w:pPr>
        <w:pStyle w:val="BodyTextIndent"/>
        <w:ind w:left="1209"/>
        <w:rPr>
          <w:rFonts w:ascii="Arial" w:hAnsi="Arial" w:cs="Arial"/>
          <w:bCs/>
        </w:rPr>
      </w:pPr>
      <w:r w:rsidRPr="00F630F4">
        <w:rPr>
          <w:rFonts w:ascii="Arial" w:hAnsi="Arial" w:cs="Arial"/>
          <w:bCs/>
        </w:rPr>
        <w:t>The position continues to reflect a favourable variance of £3</w:t>
      </w:r>
      <w:r>
        <w:rPr>
          <w:rFonts w:ascii="Arial" w:hAnsi="Arial" w:cs="Arial"/>
          <w:bCs/>
        </w:rPr>
        <w:t>96</w:t>
      </w:r>
      <w:r w:rsidRPr="00F630F4">
        <w:rPr>
          <w:rFonts w:ascii="Arial" w:hAnsi="Arial" w:cs="Arial"/>
          <w:bCs/>
        </w:rPr>
        <w:t>k ytd with a favourable £</w:t>
      </w:r>
      <w:r>
        <w:rPr>
          <w:rFonts w:ascii="Arial" w:hAnsi="Arial" w:cs="Arial"/>
          <w:bCs/>
        </w:rPr>
        <w:t>3</w:t>
      </w:r>
      <w:r w:rsidRPr="00F630F4">
        <w:rPr>
          <w:rFonts w:ascii="Arial" w:hAnsi="Arial" w:cs="Arial"/>
          <w:bCs/>
        </w:rPr>
        <w:t xml:space="preserve">6k in month position. </w:t>
      </w:r>
    </w:p>
    <w:p w:rsidR="00F64E0F" w:rsidRPr="00F630F4" w:rsidRDefault="00F64E0F" w:rsidP="00515DFD">
      <w:pPr>
        <w:pStyle w:val="BodyTextIndent"/>
        <w:ind w:left="1209"/>
        <w:rPr>
          <w:rFonts w:ascii="Arial" w:hAnsi="Arial" w:cs="Arial"/>
          <w:bCs/>
        </w:rPr>
      </w:pPr>
    </w:p>
    <w:p w:rsidR="00F64E0F" w:rsidRPr="00F630F4" w:rsidRDefault="00F64E0F" w:rsidP="00515DFD">
      <w:pPr>
        <w:pStyle w:val="BodyTextIndent"/>
        <w:ind w:left="1209"/>
        <w:rPr>
          <w:rFonts w:ascii="Arial" w:hAnsi="Arial" w:cs="Arial"/>
          <w:bCs/>
        </w:rPr>
      </w:pPr>
      <w:r w:rsidRPr="00F630F4">
        <w:rPr>
          <w:rFonts w:ascii="Arial" w:hAnsi="Arial" w:cs="Arial"/>
          <w:bCs/>
        </w:rPr>
        <w:t xml:space="preserve">Vacancies within the following services continue to be the cause of the favourable variance ytd; CSPD and Housekeeping (with </w:t>
      </w:r>
      <w:r>
        <w:rPr>
          <w:rFonts w:ascii="Arial" w:hAnsi="Arial" w:cs="Arial"/>
          <w:bCs/>
        </w:rPr>
        <w:t xml:space="preserve">ongoing </w:t>
      </w:r>
      <w:r w:rsidRPr="00F630F4">
        <w:rPr>
          <w:rFonts w:ascii="Arial" w:hAnsi="Arial" w:cs="Arial"/>
          <w:bCs/>
        </w:rPr>
        <w:t xml:space="preserve">recruitment in progress to these posts), catering (prior month vacancies now filled) and Maintenance vacancies </w:t>
      </w:r>
      <w:r w:rsidRPr="00F630F4">
        <w:rPr>
          <w:rFonts w:ascii="Arial" w:hAnsi="Arial" w:cs="Arial"/>
          <w:bCs/>
        </w:rPr>
        <w:lastRenderedPageBreak/>
        <w:t xml:space="preserve">incorporated within </w:t>
      </w:r>
      <w:r>
        <w:rPr>
          <w:rFonts w:ascii="Arial" w:hAnsi="Arial" w:cs="Arial"/>
          <w:bCs/>
        </w:rPr>
        <w:t>a detailed</w:t>
      </w:r>
      <w:r w:rsidRPr="00F630F4">
        <w:rPr>
          <w:rFonts w:ascii="Arial" w:hAnsi="Arial" w:cs="Arial"/>
          <w:bCs/>
        </w:rPr>
        <w:t xml:space="preserve"> service review</w:t>
      </w:r>
      <w:r>
        <w:rPr>
          <w:rFonts w:ascii="Arial" w:hAnsi="Arial" w:cs="Arial"/>
          <w:bCs/>
        </w:rPr>
        <w:t xml:space="preserve"> not yet approved and to be considered in 2017-18</w:t>
      </w:r>
      <w:r w:rsidRPr="00F630F4">
        <w:rPr>
          <w:rFonts w:ascii="Arial" w:hAnsi="Arial" w:cs="Arial"/>
          <w:bCs/>
        </w:rPr>
        <w:t>.</w:t>
      </w:r>
    </w:p>
    <w:p w:rsidR="00F64E0F" w:rsidRPr="00F630F4" w:rsidRDefault="00F64E0F" w:rsidP="00515DFD">
      <w:pPr>
        <w:pStyle w:val="BodyTextIndent"/>
        <w:ind w:left="0"/>
        <w:rPr>
          <w:rFonts w:ascii="Arial" w:hAnsi="Arial" w:cs="Arial"/>
          <w:bCs/>
        </w:rPr>
      </w:pPr>
    </w:p>
    <w:p w:rsidR="00F64E0F" w:rsidRPr="00F630F4" w:rsidRDefault="00F64E0F" w:rsidP="00515DFD">
      <w:pPr>
        <w:pStyle w:val="BodyTextIndent"/>
        <w:numPr>
          <w:ilvl w:val="0"/>
          <w:numId w:val="12"/>
        </w:numPr>
        <w:rPr>
          <w:rFonts w:ascii="Arial" w:hAnsi="Arial" w:cs="Arial"/>
          <w:b/>
          <w:bCs/>
        </w:rPr>
      </w:pPr>
      <w:r w:rsidRPr="00F630F4">
        <w:rPr>
          <w:rFonts w:ascii="Arial" w:hAnsi="Arial" w:cs="Arial"/>
          <w:b/>
          <w:bCs/>
        </w:rPr>
        <w:t>Admin</w:t>
      </w:r>
    </w:p>
    <w:p w:rsidR="00F64E0F" w:rsidRPr="00F630F4" w:rsidRDefault="00F64E0F" w:rsidP="00515DFD">
      <w:pPr>
        <w:pStyle w:val="BodyTextIndent"/>
        <w:ind w:left="1209"/>
        <w:rPr>
          <w:rFonts w:ascii="Arial" w:hAnsi="Arial" w:cs="Arial"/>
          <w:bCs/>
        </w:rPr>
      </w:pPr>
      <w:r w:rsidRPr="00F630F4">
        <w:rPr>
          <w:rFonts w:ascii="Arial" w:hAnsi="Arial" w:cs="Arial"/>
          <w:bCs/>
        </w:rPr>
        <w:t>The position now reflects a positive variance of £2</w:t>
      </w:r>
      <w:r>
        <w:rPr>
          <w:rFonts w:ascii="Arial" w:hAnsi="Arial" w:cs="Arial"/>
          <w:bCs/>
        </w:rPr>
        <w:t>69</w:t>
      </w:r>
      <w:r w:rsidRPr="00F630F4">
        <w:rPr>
          <w:rFonts w:ascii="Arial" w:hAnsi="Arial" w:cs="Arial"/>
          <w:bCs/>
        </w:rPr>
        <w:t>k ytd with a favourable £</w:t>
      </w:r>
      <w:r>
        <w:rPr>
          <w:rFonts w:ascii="Arial" w:hAnsi="Arial" w:cs="Arial"/>
          <w:bCs/>
        </w:rPr>
        <w:t>17</w:t>
      </w:r>
      <w:r w:rsidRPr="00F630F4">
        <w:rPr>
          <w:rFonts w:ascii="Arial" w:hAnsi="Arial" w:cs="Arial"/>
          <w:bCs/>
        </w:rPr>
        <w:t>k in month movement. This is caused by;</w:t>
      </w:r>
    </w:p>
    <w:p w:rsidR="00F64E0F" w:rsidRPr="00F630F4" w:rsidRDefault="00F64E0F" w:rsidP="00515DFD">
      <w:pPr>
        <w:pStyle w:val="BodyTextIndent"/>
        <w:ind w:left="1209"/>
        <w:rPr>
          <w:rFonts w:ascii="Arial" w:hAnsi="Arial" w:cs="Arial"/>
          <w:bCs/>
        </w:rPr>
      </w:pPr>
    </w:p>
    <w:p w:rsidR="00F64E0F" w:rsidRPr="00F630F4" w:rsidRDefault="00F64E0F" w:rsidP="00515DFD">
      <w:pPr>
        <w:pStyle w:val="BodyTextIndent"/>
        <w:numPr>
          <w:ilvl w:val="1"/>
          <w:numId w:val="13"/>
        </w:numPr>
        <w:tabs>
          <w:tab w:val="clear" w:pos="1440"/>
          <w:tab w:val="num" w:pos="1980"/>
        </w:tabs>
        <w:ind w:left="1980"/>
        <w:rPr>
          <w:rFonts w:ascii="Arial" w:hAnsi="Arial" w:cs="Arial"/>
          <w:bCs/>
        </w:rPr>
      </w:pPr>
      <w:r w:rsidRPr="00F630F4">
        <w:rPr>
          <w:rFonts w:ascii="Arial" w:hAnsi="Arial" w:cs="Arial"/>
          <w:bCs/>
        </w:rPr>
        <w:t>Clinical Governance as a result of prior month</w:t>
      </w:r>
      <w:r>
        <w:rPr>
          <w:rFonts w:ascii="Arial" w:hAnsi="Arial" w:cs="Arial"/>
          <w:bCs/>
        </w:rPr>
        <w:t xml:space="preserve"> band 7</w:t>
      </w:r>
      <w:r w:rsidRPr="00F630F4">
        <w:rPr>
          <w:rFonts w:ascii="Arial" w:hAnsi="Arial" w:cs="Arial"/>
          <w:bCs/>
        </w:rPr>
        <w:t xml:space="preserve"> and current </w:t>
      </w:r>
      <w:r>
        <w:rPr>
          <w:rFonts w:ascii="Arial" w:hAnsi="Arial" w:cs="Arial"/>
          <w:bCs/>
        </w:rPr>
        <w:t xml:space="preserve">band 6 </w:t>
      </w:r>
      <w:r w:rsidRPr="00F630F4">
        <w:rPr>
          <w:rFonts w:ascii="Arial" w:hAnsi="Arial" w:cs="Arial"/>
          <w:bCs/>
        </w:rPr>
        <w:t xml:space="preserve">vacancy; </w:t>
      </w:r>
    </w:p>
    <w:p w:rsidR="00F64E0F" w:rsidRPr="00F630F4" w:rsidRDefault="00F64E0F" w:rsidP="00515DFD">
      <w:pPr>
        <w:pStyle w:val="BodyTextIndent"/>
        <w:numPr>
          <w:ilvl w:val="1"/>
          <w:numId w:val="13"/>
        </w:numPr>
        <w:tabs>
          <w:tab w:val="clear" w:pos="1440"/>
          <w:tab w:val="num" w:pos="1980"/>
        </w:tabs>
        <w:ind w:left="1980"/>
        <w:rPr>
          <w:rFonts w:ascii="Arial" w:hAnsi="Arial" w:cs="Arial"/>
          <w:bCs/>
        </w:rPr>
      </w:pPr>
      <w:r w:rsidRPr="00F630F4">
        <w:rPr>
          <w:rFonts w:ascii="Arial" w:hAnsi="Arial" w:cs="Arial"/>
          <w:bCs/>
        </w:rPr>
        <w:t>E-health band 5 vacan</w:t>
      </w:r>
      <w:r>
        <w:rPr>
          <w:rFonts w:ascii="Arial" w:hAnsi="Arial" w:cs="Arial"/>
          <w:bCs/>
        </w:rPr>
        <w:t>cies with a staff review approved and in process of implementation</w:t>
      </w:r>
      <w:r w:rsidRPr="00F630F4">
        <w:rPr>
          <w:rFonts w:ascii="Arial" w:hAnsi="Arial" w:cs="Arial"/>
          <w:bCs/>
        </w:rPr>
        <w:t>;</w:t>
      </w:r>
    </w:p>
    <w:p w:rsidR="00F64E0F" w:rsidRPr="00F630F4" w:rsidRDefault="00F64E0F" w:rsidP="00515DFD">
      <w:pPr>
        <w:pStyle w:val="BodyTextIndent"/>
        <w:numPr>
          <w:ilvl w:val="1"/>
          <w:numId w:val="13"/>
        </w:numPr>
        <w:tabs>
          <w:tab w:val="clear" w:pos="1440"/>
          <w:tab w:val="num" w:pos="1980"/>
        </w:tabs>
        <w:ind w:left="1980"/>
        <w:rPr>
          <w:rFonts w:ascii="Arial" w:hAnsi="Arial" w:cs="Arial"/>
          <w:bCs/>
        </w:rPr>
      </w:pPr>
      <w:r w:rsidRPr="00F630F4">
        <w:rPr>
          <w:rFonts w:ascii="Arial" w:hAnsi="Arial" w:cs="Arial"/>
          <w:bCs/>
        </w:rPr>
        <w:t>Vacancy within non-executive director role;</w:t>
      </w:r>
    </w:p>
    <w:p w:rsidR="00F64E0F" w:rsidRPr="00D15A45" w:rsidRDefault="00F64E0F" w:rsidP="00515DFD">
      <w:pPr>
        <w:pStyle w:val="BodyTextIndent"/>
        <w:numPr>
          <w:ilvl w:val="1"/>
          <w:numId w:val="13"/>
        </w:numPr>
        <w:tabs>
          <w:tab w:val="clear" w:pos="1440"/>
          <w:tab w:val="num" w:pos="1980"/>
        </w:tabs>
        <w:ind w:left="1980"/>
        <w:rPr>
          <w:rFonts w:ascii="Arial" w:hAnsi="Arial" w:cs="Arial"/>
          <w:bCs/>
        </w:rPr>
      </w:pPr>
      <w:r w:rsidRPr="00F630F4">
        <w:rPr>
          <w:rFonts w:ascii="Arial" w:hAnsi="Arial" w:cs="Arial"/>
          <w:bCs/>
        </w:rPr>
        <w:t xml:space="preserve">Corporate favourable </w:t>
      </w:r>
      <w:r>
        <w:rPr>
          <w:rFonts w:ascii="Arial" w:hAnsi="Arial" w:cs="Arial"/>
          <w:bCs/>
        </w:rPr>
        <w:t xml:space="preserve">variance </w:t>
      </w:r>
      <w:r w:rsidRPr="00F630F4">
        <w:rPr>
          <w:rFonts w:ascii="Arial" w:hAnsi="Arial" w:cs="Arial"/>
          <w:bCs/>
        </w:rPr>
        <w:t xml:space="preserve">from </w:t>
      </w:r>
      <w:r>
        <w:rPr>
          <w:rFonts w:ascii="Arial" w:hAnsi="Arial" w:cs="Arial"/>
          <w:bCs/>
        </w:rPr>
        <w:t xml:space="preserve">previous HR Director vacancy and now in post </w:t>
      </w:r>
      <w:r w:rsidRPr="00D15A45">
        <w:rPr>
          <w:rFonts w:ascii="Arial" w:hAnsi="Arial" w:cs="Arial"/>
          <w:bCs/>
        </w:rPr>
        <w:t>and</w:t>
      </w:r>
      <w:r>
        <w:rPr>
          <w:rFonts w:ascii="Arial" w:hAnsi="Arial" w:cs="Arial"/>
          <w:bCs/>
        </w:rPr>
        <w:t>;</w:t>
      </w:r>
    </w:p>
    <w:p w:rsidR="00F64E0F" w:rsidRPr="00F630F4" w:rsidRDefault="00F64E0F" w:rsidP="00515DFD">
      <w:pPr>
        <w:pStyle w:val="BodyTextIndent"/>
        <w:numPr>
          <w:ilvl w:val="1"/>
          <w:numId w:val="13"/>
        </w:numPr>
        <w:tabs>
          <w:tab w:val="clear" w:pos="1440"/>
          <w:tab w:val="num" w:pos="1980"/>
        </w:tabs>
        <w:ind w:left="1980"/>
        <w:rPr>
          <w:rFonts w:ascii="Arial" w:hAnsi="Arial" w:cs="Arial"/>
          <w:bCs/>
        </w:rPr>
      </w:pPr>
      <w:r w:rsidRPr="00F630F4">
        <w:rPr>
          <w:rFonts w:ascii="Arial" w:hAnsi="Arial" w:cs="Arial"/>
          <w:bCs/>
        </w:rPr>
        <w:t>Hotel favourable position</w:t>
      </w:r>
      <w:r>
        <w:rPr>
          <w:rFonts w:ascii="Arial" w:hAnsi="Arial" w:cs="Arial"/>
          <w:bCs/>
        </w:rPr>
        <w:t xml:space="preserve"> from vacancies</w:t>
      </w:r>
      <w:r w:rsidRPr="00F630F4">
        <w:rPr>
          <w:rFonts w:ascii="Arial" w:hAnsi="Arial" w:cs="Arial"/>
          <w:bCs/>
        </w:rPr>
        <w:t>.</w:t>
      </w:r>
    </w:p>
    <w:p w:rsidR="00F64E0F" w:rsidRPr="002B6E78" w:rsidRDefault="00F64E0F" w:rsidP="00515DFD">
      <w:pPr>
        <w:pStyle w:val="BodyTextIndent"/>
        <w:ind w:left="0"/>
        <w:rPr>
          <w:rFonts w:ascii="Arial" w:hAnsi="Arial" w:cs="Arial"/>
          <w:bCs/>
          <w:highlight w:val="yellow"/>
        </w:rPr>
      </w:pPr>
    </w:p>
    <w:p w:rsidR="00F64E0F" w:rsidRPr="00F630F4" w:rsidRDefault="00F64E0F" w:rsidP="00515DFD">
      <w:pPr>
        <w:pStyle w:val="BodyTextIndent"/>
        <w:ind w:left="0"/>
        <w:rPr>
          <w:rFonts w:ascii="Arial" w:hAnsi="Arial" w:cs="Arial"/>
          <w:b/>
          <w:iCs w:val="0"/>
        </w:rPr>
      </w:pPr>
      <w:r w:rsidRPr="00F630F4">
        <w:rPr>
          <w:rFonts w:ascii="Arial" w:hAnsi="Arial" w:cs="Arial"/>
          <w:b/>
          <w:iCs w:val="0"/>
        </w:rPr>
        <w:t>Supplies</w:t>
      </w:r>
    </w:p>
    <w:p w:rsidR="00F64E0F" w:rsidRPr="00F630F4" w:rsidRDefault="00F64E0F" w:rsidP="00515DFD">
      <w:pPr>
        <w:pStyle w:val="BodyTextIndent"/>
        <w:rPr>
          <w:rFonts w:ascii="Arial" w:hAnsi="Arial" w:cs="Arial"/>
          <w:b/>
          <w:iCs w:val="0"/>
        </w:rPr>
      </w:pPr>
    </w:p>
    <w:p w:rsidR="00F64E0F" w:rsidRDefault="00F64E0F" w:rsidP="00515DFD">
      <w:pPr>
        <w:pStyle w:val="BodyTextIndent"/>
        <w:rPr>
          <w:rFonts w:ascii="Arial" w:hAnsi="Arial" w:cs="Arial"/>
          <w:b/>
          <w:iCs w:val="0"/>
        </w:rPr>
      </w:pPr>
      <w:r w:rsidRPr="00F630F4">
        <w:rPr>
          <w:rFonts w:ascii="Arial" w:hAnsi="Arial" w:cs="Arial"/>
          <w:b/>
          <w:iCs w:val="0"/>
        </w:rPr>
        <w:t>Clinical</w:t>
      </w:r>
    </w:p>
    <w:p w:rsidR="00515DFD" w:rsidRPr="00F630F4" w:rsidRDefault="00515DFD" w:rsidP="00515DFD">
      <w:pPr>
        <w:pStyle w:val="BodyTextIndent"/>
        <w:rPr>
          <w:rFonts w:ascii="Arial" w:hAnsi="Arial" w:cs="Arial"/>
          <w:b/>
          <w:iCs w:val="0"/>
        </w:rPr>
      </w:pPr>
    </w:p>
    <w:p w:rsidR="00F64E0F" w:rsidRPr="00F630F4" w:rsidRDefault="00F64E0F" w:rsidP="00515DFD">
      <w:pPr>
        <w:pStyle w:val="BodyTextIndent"/>
        <w:rPr>
          <w:rFonts w:ascii="Arial" w:hAnsi="Arial" w:cs="Arial"/>
          <w:bCs/>
        </w:rPr>
      </w:pPr>
      <w:r>
        <w:rPr>
          <w:rFonts w:ascii="Arial" w:hAnsi="Arial" w:cs="Arial"/>
          <w:bCs/>
        </w:rPr>
        <w:t>The in month variance is £287k favourable</w:t>
      </w:r>
      <w:r w:rsidRPr="00F630F4">
        <w:rPr>
          <w:rFonts w:ascii="Arial" w:hAnsi="Arial" w:cs="Arial"/>
          <w:bCs/>
        </w:rPr>
        <w:t xml:space="preserve"> (overspend year to date</w:t>
      </w:r>
      <w:r>
        <w:rPr>
          <w:rFonts w:ascii="Arial" w:hAnsi="Arial" w:cs="Arial"/>
          <w:bCs/>
        </w:rPr>
        <w:t xml:space="preserve"> against clinical supplies of (£757k</w:t>
      </w:r>
      <w:r w:rsidRPr="00F630F4">
        <w:rPr>
          <w:rFonts w:ascii="Arial" w:hAnsi="Arial" w:cs="Arial"/>
          <w:bCs/>
        </w:rPr>
        <w:t>)).  The primary area of overspend year to date are detailed below:</w:t>
      </w:r>
    </w:p>
    <w:p w:rsidR="00F64E0F" w:rsidRPr="00F630F4" w:rsidRDefault="00F64E0F" w:rsidP="00515DFD">
      <w:pPr>
        <w:pStyle w:val="BodyTextIndent"/>
        <w:rPr>
          <w:rFonts w:ascii="Arial" w:hAnsi="Arial" w:cs="Arial"/>
          <w:bCs/>
        </w:rPr>
      </w:pPr>
    </w:p>
    <w:p w:rsidR="00F64E0F" w:rsidRDefault="00F64E0F" w:rsidP="00515DFD">
      <w:pPr>
        <w:pStyle w:val="BodyTextIndent"/>
        <w:numPr>
          <w:ilvl w:val="0"/>
          <w:numId w:val="11"/>
        </w:numPr>
        <w:rPr>
          <w:rFonts w:ascii="Arial" w:hAnsi="Arial" w:cs="Arial"/>
          <w:b/>
          <w:bCs/>
        </w:rPr>
      </w:pPr>
      <w:r w:rsidRPr="00F630F4">
        <w:rPr>
          <w:rFonts w:ascii="Arial" w:hAnsi="Arial" w:cs="Arial"/>
          <w:b/>
          <w:bCs/>
        </w:rPr>
        <w:t>Pharmacy – (£21</w:t>
      </w:r>
      <w:r>
        <w:rPr>
          <w:rFonts w:ascii="Arial" w:hAnsi="Arial" w:cs="Arial"/>
          <w:b/>
          <w:bCs/>
        </w:rPr>
        <w:t>1k) overspend ytd with a breakeven position in</w:t>
      </w:r>
      <w:r w:rsidRPr="00F630F4">
        <w:rPr>
          <w:rFonts w:ascii="Arial" w:hAnsi="Arial" w:cs="Arial"/>
          <w:b/>
          <w:bCs/>
        </w:rPr>
        <w:t xml:space="preserve"> month </w:t>
      </w:r>
    </w:p>
    <w:p w:rsidR="00515DFD" w:rsidRPr="00F630F4" w:rsidRDefault="00515DFD" w:rsidP="00515DFD">
      <w:pPr>
        <w:pStyle w:val="BodyTextIndent"/>
        <w:ind w:left="1209"/>
        <w:rPr>
          <w:rFonts w:ascii="Arial" w:hAnsi="Arial" w:cs="Arial"/>
          <w:b/>
          <w:bCs/>
        </w:rPr>
      </w:pPr>
    </w:p>
    <w:p w:rsidR="00F64E0F" w:rsidRPr="00F630F4" w:rsidRDefault="00F64E0F" w:rsidP="00515DFD">
      <w:pPr>
        <w:pStyle w:val="BodyTextIndent"/>
        <w:tabs>
          <w:tab w:val="left" w:pos="1276"/>
        </w:tabs>
        <w:ind w:left="1209"/>
        <w:rPr>
          <w:rFonts w:ascii="Arial" w:hAnsi="Arial" w:cs="Arial"/>
          <w:bCs/>
        </w:rPr>
      </w:pPr>
      <w:r w:rsidRPr="00F630F4">
        <w:rPr>
          <w:rFonts w:ascii="Arial" w:hAnsi="Arial" w:cs="Arial"/>
          <w:bCs/>
        </w:rPr>
        <w:t>The main area of pressure relates to Theatres drugs and some ef</w:t>
      </w:r>
      <w:r>
        <w:rPr>
          <w:rFonts w:ascii="Arial" w:hAnsi="Arial" w:cs="Arial"/>
          <w:bCs/>
        </w:rPr>
        <w:t>ficiency schemes identified had</w:t>
      </w:r>
      <w:r w:rsidRPr="00F630F4">
        <w:rPr>
          <w:rFonts w:ascii="Arial" w:hAnsi="Arial" w:cs="Arial"/>
          <w:bCs/>
        </w:rPr>
        <w:t xml:space="preserve"> planned implementation later in the financial year</w:t>
      </w:r>
      <w:r>
        <w:rPr>
          <w:rFonts w:ascii="Arial" w:hAnsi="Arial" w:cs="Arial"/>
          <w:bCs/>
        </w:rPr>
        <w:t xml:space="preserve"> and this is starting to realise</w:t>
      </w:r>
      <w:r w:rsidRPr="00F630F4">
        <w:rPr>
          <w:rFonts w:ascii="Arial" w:hAnsi="Arial" w:cs="Arial"/>
          <w:bCs/>
        </w:rPr>
        <w:t xml:space="preserve">. </w:t>
      </w:r>
    </w:p>
    <w:p w:rsidR="00F64E0F" w:rsidRPr="00F630F4" w:rsidRDefault="00F64E0F" w:rsidP="00515DFD">
      <w:pPr>
        <w:pStyle w:val="BodyTextIndent"/>
        <w:ind w:left="1209"/>
        <w:rPr>
          <w:rFonts w:ascii="Arial" w:hAnsi="Arial" w:cs="Arial"/>
          <w:b/>
          <w:bCs/>
        </w:rPr>
      </w:pPr>
    </w:p>
    <w:p w:rsidR="00F64E0F" w:rsidRDefault="00F64E0F" w:rsidP="00515DFD">
      <w:pPr>
        <w:pStyle w:val="BodyTextIndent"/>
        <w:numPr>
          <w:ilvl w:val="0"/>
          <w:numId w:val="11"/>
        </w:numPr>
        <w:rPr>
          <w:rFonts w:ascii="Arial" w:hAnsi="Arial" w:cs="Arial"/>
          <w:b/>
          <w:bCs/>
        </w:rPr>
      </w:pPr>
      <w:r w:rsidRPr="00F630F4">
        <w:rPr>
          <w:rFonts w:ascii="Arial" w:hAnsi="Arial" w:cs="Arial"/>
          <w:b/>
          <w:bCs/>
        </w:rPr>
        <w:t>Surgical Supplies – (£</w:t>
      </w:r>
      <w:r>
        <w:rPr>
          <w:rFonts w:ascii="Arial" w:hAnsi="Arial" w:cs="Arial"/>
          <w:b/>
          <w:bCs/>
        </w:rPr>
        <w:t>22</w:t>
      </w:r>
      <w:r w:rsidRPr="00F630F4">
        <w:rPr>
          <w:rFonts w:ascii="Arial" w:hAnsi="Arial" w:cs="Arial"/>
          <w:b/>
          <w:bCs/>
        </w:rPr>
        <w:t xml:space="preserve">k) overspend ytd with an in month </w:t>
      </w:r>
      <w:r>
        <w:rPr>
          <w:rFonts w:ascii="Arial" w:hAnsi="Arial" w:cs="Arial"/>
          <w:b/>
          <w:bCs/>
        </w:rPr>
        <w:t>positive</w:t>
      </w:r>
      <w:r w:rsidRPr="00F630F4">
        <w:rPr>
          <w:rFonts w:ascii="Arial" w:hAnsi="Arial" w:cs="Arial"/>
          <w:b/>
          <w:bCs/>
        </w:rPr>
        <w:t xml:space="preserve"> variance of </w:t>
      </w:r>
      <w:r>
        <w:rPr>
          <w:rFonts w:ascii="Arial" w:hAnsi="Arial" w:cs="Arial"/>
          <w:b/>
          <w:bCs/>
        </w:rPr>
        <w:t>£329</w:t>
      </w:r>
      <w:r w:rsidRPr="00F630F4">
        <w:rPr>
          <w:rFonts w:ascii="Arial" w:hAnsi="Arial" w:cs="Arial"/>
          <w:b/>
          <w:bCs/>
        </w:rPr>
        <w:t>k</w:t>
      </w:r>
    </w:p>
    <w:p w:rsidR="00515DFD" w:rsidRPr="00F630F4" w:rsidRDefault="00515DFD" w:rsidP="00515DFD">
      <w:pPr>
        <w:pStyle w:val="BodyTextIndent"/>
        <w:ind w:left="1209"/>
        <w:rPr>
          <w:rFonts w:ascii="Arial" w:hAnsi="Arial" w:cs="Arial"/>
          <w:b/>
          <w:bCs/>
        </w:rPr>
      </w:pPr>
    </w:p>
    <w:p w:rsidR="00F64E0F" w:rsidRDefault="00F64E0F" w:rsidP="00515DFD">
      <w:pPr>
        <w:pStyle w:val="BodyTextIndent"/>
        <w:ind w:left="1209"/>
        <w:rPr>
          <w:rFonts w:ascii="Arial" w:hAnsi="Arial" w:cs="Arial"/>
          <w:bCs/>
        </w:rPr>
      </w:pPr>
      <w:r>
        <w:rPr>
          <w:rFonts w:ascii="Arial" w:hAnsi="Arial" w:cs="Arial"/>
          <w:bCs/>
        </w:rPr>
        <w:t>The majority of the in month improvement is within Theatres and in relation to efficiencies within Orthopaedic in addition to critical care dialysis sundries lower than budget plan from patient acuity.</w:t>
      </w:r>
    </w:p>
    <w:p w:rsidR="00F64E0F" w:rsidRDefault="00F64E0F" w:rsidP="00515DFD">
      <w:pPr>
        <w:pStyle w:val="BodyTextIndent"/>
        <w:ind w:left="1209"/>
        <w:rPr>
          <w:rFonts w:ascii="Arial" w:hAnsi="Arial" w:cs="Arial"/>
          <w:bCs/>
        </w:rPr>
      </w:pPr>
      <w:r>
        <w:rPr>
          <w:rFonts w:ascii="Arial" w:hAnsi="Arial" w:cs="Arial"/>
          <w:bCs/>
        </w:rPr>
        <w:t xml:space="preserve"> </w:t>
      </w:r>
    </w:p>
    <w:p w:rsidR="00F64E0F" w:rsidRPr="00F630F4" w:rsidRDefault="00F64E0F" w:rsidP="00515DFD">
      <w:pPr>
        <w:pStyle w:val="BodyTextIndent"/>
        <w:ind w:left="1209"/>
        <w:rPr>
          <w:rFonts w:ascii="Arial" w:hAnsi="Arial" w:cs="Arial"/>
          <w:bCs/>
        </w:rPr>
      </w:pPr>
      <w:r w:rsidRPr="00F630F4">
        <w:rPr>
          <w:rFonts w:ascii="Arial" w:hAnsi="Arial" w:cs="Arial"/>
          <w:bCs/>
        </w:rPr>
        <w:t xml:space="preserve">The paper on the Cath-lab </w:t>
      </w:r>
      <w:r>
        <w:rPr>
          <w:rFonts w:ascii="Arial" w:hAnsi="Arial" w:cs="Arial"/>
          <w:bCs/>
        </w:rPr>
        <w:t xml:space="preserve">supplies </w:t>
      </w:r>
      <w:r w:rsidRPr="00F630F4">
        <w:rPr>
          <w:rFonts w:ascii="Arial" w:hAnsi="Arial" w:cs="Arial"/>
          <w:bCs/>
        </w:rPr>
        <w:t>overspend is planned to be presented to</w:t>
      </w:r>
      <w:r>
        <w:rPr>
          <w:rFonts w:ascii="Arial" w:hAnsi="Arial" w:cs="Arial"/>
          <w:bCs/>
        </w:rPr>
        <w:t xml:space="preserve"> </w:t>
      </w:r>
      <w:r w:rsidRPr="00F630F4">
        <w:rPr>
          <w:rFonts w:ascii="Arial" w:hAnsi="Arial" w:cs="Arial"/>
          <w:bCs/>
        </w:rPr>
        <w:t>Performance &amp;Planning meeting, which is the main reason for the cumulative cost pressure to date.</w:t>
      </w:r>
      <w:r>
        <w:rPr>
          <w:rFonts w:ascii="Arial" w:hAnsi="Arial" w:cs="Arial"/>
          <w:bCs/>
        </w:rPr>
        <w:t xml:space="preserve"> This  is partly offset by a positive position against long term ventricular assisted devices as no activity for this has been completed to date.</w:t>
      </w:r>
      <w:r w:rsidRPr="00F630F4">
        <w:rPr>
          <w:rFonts w:ascii="Arial" w:hAnsi="Arial" w:cs="Arial"/>
          <w:bCs/>
        </w:rPr>
        <w:t xml:space="preserve">  </w:t>
      </w:r>
    </w:p>
    <w:p w:rsidR="00F64E0F" w:rsidRDefault="00F64E0F" w:rsidP="00515DFD">
      <w:pPr>
        <w:pStyle w:val="BodyTextIndent"/>
        <w:ind w:left="1209"/>
        <w:rPr>
          <w:rFonts w:ascii="Arial" w:hAnsi="Arial" w:cs="Arial"/>
          <w:bCs/>
        </w:rPr>
      </w:pPr>
    </w:p>
    <w:p w:rsidR="00F64E0F" w:rsidRDefault="00F64E0F" w:rsidP="00515DFD">
      <w:pPr>
        <w:pStyle w:val="BodyTextIndent"/>
        <w:numPr>
          <w:ilvl w:val="0"/>
          <w:numId w:val="11"/>
        </w:numPr>
        <w:rPr>
          <w:rFonts w:ascii="Arial" w:hAnsi="Arial" w:cs="Arial"/>
          <w:b/>
          <w:bCs/>
        </w:rPr>
      </w:pPr>
      <w:r w:rsidRPr="00F630F4">
        <w:rPr>
          <w:rFonts w:ascii="Arial" w:hAnsi="Arial" w:cs="Arial"/>
          <w:b/>
          <w:bCs/>
        </w:rPr>
        <w:t>Labs/Radiology – (£</w:t>
      </w:r>
      <w:r>
        <w:rPr>
          <w:rFonts w:ascii="Arial" w:hAnsi="Arial" w:cs="Arial"/>
          <w:b/>
          <w:bCs/>
        </w:rPr>
        <w:t>3</w:t>
      </w:r>
      <w:r w:rsidRPr="00F630F4">
        <w:rPr>
          <w:rFonts w:ascii="Arial" w:hAnsi="Arial" w:cs="Arial"/>
          <w:b/>
          <w:bCs/>
        </w:rPr>
        <w:t>2</w:t>
      </w:r>
      <w:r>
        <w:rPr>
          <w:rFonts w:ascii="Arial" w:hAnsi="Arial" w:cs="Arial"/>
          <w:b/>
          <w:bCs/>
        </w:rPr>
        <w:t>3</w:t>
      </w:r>
      <w:r w:rsidRPr="00F630F4">
        <w:rPr>
          <w:rFonts w:ascii="Arial" w:hAnsi="Arial" w:cs="Arial"/>
          <w:b/>
          <w:bCs/>
        </w:rPr>
        <w:t>k) overspend ytd with an in month adverse variance of (£</w:t>
      </w:r>
      <w:r>
        <w:rPr>
          <w:rFonts w:ascii="Arial" w:hAnsi="Arial" w:cs="Arial"/>
          <w:b/>
          <w:bCs/>
        </w:rPr>
        <w:t>42</w:t>
      </w:r>
      <w:r w:rsidRPr="00F630F4">
        <w:rPr>
          <w:rFonts w:ascii="Arial" w:hAnsi="Arial" w:cs="Arial"/>
          <w:b/>
          <w:bCs/>
        </w:rPr>
        <w:t>k)</w:t>
      </w:r>
    </w:p>
    <w:p w:rsidR="00515DFD" w:rsidRPr="00F630F4" w:rsidRDefault="00515DFD" w:rsidP="00515DFD">
      <w:pPr>
        <w:pStyle w:val="BodyTextIndent"/>
        <w:ind w:left="1209"/>
        <w:rPr>
          <w:rFonts w:ascii="Arial" w:hAnsi="Arial" w:cs="Arial"/>
          <w:b/>
          <w:bCs/>
        </w:rPr>
      </w:pPr>
    </w:p>
    <w:p w:rsidR="00F64E0F" w:rsidRPr="00F630F4" w:rsidRDefault="00F64E0F" w:rsidP="00515DFD">
      <w:pPr>
        <w:pStyle w:val="BodyTextIndent"/>
        <w:ind w:left="1209"/>
        <w:rPr>
          <w:rFonts w:ascii="Arial" w:hAnsi="Arial" w:cs="Arial"/>
          <w:bCs/>
        </w:rPr>
      </w:pPr>
      <w:r w:rsidRPr="00F630F4">
        <w:rPr>
          <w:rFonts w:ascii="Arial" w:hAnsi="Arial" w:cs="Arial"/>
          <w:bCs/>
        </w:rPr>
        <w:t>A large element of this relates to radiology supplies in the Cath-lab and as detailed within surgical supplies this will be picked u</w:t>
      </w:r>
      <w:r>
        <w:rPr>
          <w:rFonts w:ascii="Arial" w:hAnsi="Arial" w:cs="Arial"/>
          <w:bCs/>
        </w:rPr>
        <w:t>p as part of the review paper</w:t>
      </w:r>
      <w:r w:rsidRPr="00F630F4">
        <w:rPr>
          <w:rFonts w:ascii="Arial" w:hAnsi="Arial" w:cs="Arial"/>
          <w:bCs/>
        </w:rPr>
        <w:t xml:space="preserve"> noted above.</w:t>
      </w:r>
    </w:p>
    <w:p w:rsidR="00F64E0F" w:rsidRDefault="00F64E0F" w:rsidP="00515DFD">
      <w:pPr>
        <w:pStyle w:val="BodyTextIndent"/>
        <w:rPr>
          <w:rFonts w:ascii="Arial" w:hAnsi="Arial" w:cs="Arial"/>
          <w:b/>
          <w:iCs w:val="0"/>
        </w:rPr>
      </w:pPr>
      <w:r w:rsidRPr="00CA4FA2">
        <w:rPr>
          <w:rFonts w:ascii="Arial" w:hAnsi="Arial" w:cs="Arial"/>
          <w:b/>
          <w:iCs w:val="0"/>
        </w:rPr>
        <w:lastRenderedPageBreak/>
        <w:t>Non-Clinical</w:t>
      </w:r>
    </w:p>
    <w:p w:rsidR="00515DFD" w:rsidRPr="00CA4FA2" w:rsidRDefault="00515DFD" w:rsidP="00515DFD">
      <w:pPr>
        <w:pStyle w:val="BodyTextIndent"/>
        <w:rPr>
          <w:rFonts w:ascii="Arial" w:hAnsi="Arial" w:cs="Arial"/>
          <w:b/>
          <w:iCs w:val="0"/>
        </w:rPr>
      </w:pPr>
    </w:p>
    <w:p w:rsidR="00F64E0F" w:rsidRDefault="00F64E0F" w:rsidP="00515DFD">
      <w:pPr>
        <w:pStyle w:val="BodyTextIndent"/>
        <w:rPr>
          <w:rFonts w:ascii="Arial" w:hAnsi="Arial" w:cs="Arial"/>
          <w:iCs w:val="0"/>
        </w:rPr>
      </w:pPr>
      <w:r>
        <w:rPr>
          <w:rFonts w:ascii="Arial" w:hAnsi="Arial" w:cs="Arial"/>
          <w:iCs w:val="0"/>
        </w:rPr>
        <w:t>The in month variance is (£398</w:t>
      </w:r>
      <w:r w:rsidRPr="00CA4FA2">
        <w:rPr>
          <w:rFonts w:ascii="Arial" w:hAnsi="Arial" w:cs="Arial"/>
          <w:iCs w:val="0"/>
        </w:rPr>
        <w:t>k</w:t>
      </w:r>
      <w:r>
        <w:rPr>
          <w:rFonts w:ascii="Arial" w:hAnsi="Arial" w:cs="Arial"/>
          <w:iCs w:val="0"/>
        </w:rPr>
        <w:t>)</w:t>
      </w:r>
      <w:r w:rsidRPr="00CA4FA2">
        <w:rPr>
          <w:rFonts w:ascii="Arial" w:hAnsi="Arial" w:cs="Arial"/>
          <w:iCs w:val="0"/>
        </w:rPr>
        <w:t xml:space="preserve"> </w:t>
      </w:r>
      <w:r>
        <w:rPr>
          <w:rFonts w:ascii="Arial" w:hAnsi="Arial" w:cs="Arial"/>
          <w:iCs w:val="0"/>
        </w:rPr>
        <w:t>ov</w:t>
      </w:r>
      <w:r w:rsidRPr="00CA4FA2">
        <w:rPr>
          <w:rFonts w:ascii="Arial" w:hAnsi="Arial" w:cs="Arial"/>
          <w:iCs w:val="0"/>
        </w:rPr>
        <w:t xml:space="preserve">er budget (to date this area is demonstrating </w:t>
      </w:r>
      <w:proofErr w:type="gramStart"/>
      <w:r w:rsidRPr="00CA4FA2">
        <w:rPr>
          <w:rFonts w:ascii="Arial" w:hAnsi="Arial" w:cs="Arial"/>
          <w:iCs w:val="0"/>
        </w:rPr>
        <w:t>an underspend</w:t>
      </w:r>
      <w:proofErr w:type="gramEnd"/>
      <w:r w:rsidRPr="00CA4FA2">
        <w:rPr>
          <w:rFonts w:ascii="Arial" w:hAnsi="Arial" w:cs="Arial"/>
          <w:iCs w:val="0"/>
        </w:rPr>
        <w:t xml:space="preserve"> of £</w:t>
      </w:r>
      <w:r>
        <w:rPr>
          <w:rFonts w:ascii="Arial" w:hAnsi="Arial" w:cs="Arial"/>
          <w:iCs w:val="0"/>
        </w:rPr>
        <w:t>725k)</w:t>
      </w:r>
      <w:r w:rsidRPr="00CA4FA2">
        <w:rPr>
          <w:rFonts w:ascii="Arial" w:hAnsi="Arial" w:cs="Arial"/>
          <w:iCs w:val="0"/>
        </w:rPr>
        <w:t>. This reflects the approved</w:t>
      </w:r>
      <w:r>
        <w:rPr>
          <w:rFonts w:ascii="Arial" w:hAnsi="Arial" w:cs="Arial"/>
          <w:iCs w:val="0"/>
        </w:rPr>
        <w:t xml:space="preserve"> expenditure plan in line with the previous forecast and the impact of supported non-recurring bids.</w:t>
      </w:r>
    </w:p>
    <w:p w:rsidR="00F64E0F" w:rsidRDefault="00F64E0F" w:rsidP="00515DFD">
      <w:pPr>
        <w:pStyle w:val="BodyTextIndent"/>
        <w:ind w:left="0"/>
        <w:rPr>
          <w:rFonts w:ascii="Arial" w:hAnsi="Arial" w:cs="Arial"/>
          <w:b/>
          <w:iCs w:val="0"/>
        </w:rPr>
      </w:pPr>
    </w:p>
    <w:p w:rsidR="00F64E0F" w:rsidRPr="000D6E46" w:rsidRDefault="00F64E0F" w:rsidP="00515DFD">
      <w:pPr>
        <w:pStyle w:val="BodyTextIndent"/>
        <w:rPr>
          <w:rFonts w:ascii="Arial" w:hAnsi="Arial" w:cs="Arial"/>
          <w:b/>
          <w:iCs w:val="0"/>
        </w:rPr>
      </w:pPr>
      <w:r w:rsidRPr="000D6E46">
        <w:rPr>
          <w:rFonts w:ascii="Arial" w:hAnsi="Arial" w:cs="Arial"/>
          <w:b/>
          <w:iCs w:val="0"/>
        </w:rPr>
        <w:t>Non-core Variance</w:t>
      </w:r>
    </w:p>
    <w:p w:rsidR="00F64E0F" w:rsidRDefault="00F64E0F" w:rsidP="00515DFD">
      <w:pPr>
        <w:pStyle w:val="BodyTextIndent"/>
        <w:rPr>
          <w:rFonts w:ascii="Arial" w:hAnsi="Arial" w:cs="Arial"/>
          <w:bCs/>
        </w:rPr>
      </w:pPr>
    </w:p>
    <w:p w:rsidR="00F64E0F" w:rsidRDefault="00F64E0F" w:rsidP="00515DFD">
      <w:pPr>
        <w:pStyle w:val="BodyTextIndent"/>
        <w:rPr>
          <w:rFonts w:ascii="Arial" w:hAnsi="Arial" w:cs="Arial"/>
          <w:bCs/>
        </w:rPr>
      </w:pPr>
      <w:r>
        <w:rPr>
          <w:rFonts w:ascii="Arial" w:hAnsi="Arial" w:cs="Arial"/>
          <w:bCs/>
        </w:rPr>
        <w:t>A separate tab has now been included in Appendix one (page 4) to show non-core funding and expenditure.</w:t>
      </w:r>
    </w:p>
    <w:p w:rsidR="00F64E0F" w:rsidRDefault="00F64E0F" w:rsidP="00515DFD">
      <w:pPr>
        <w:pStyle w:val="BodyTextIndent"/>
        <w:rPr>
          <w:rFonts w:ascii="Arial" w:hAnsi="Arial" w:cs="Arial"/>
          <w:bCs/>
        </w:rPr>
      </w:pPr>
    </w:p>
    <w:p w:rsidR="00F64E0F" w:rsidRDefault="00F64E0F" w:rsidP="00515DFD">
      <w:pPr>
        <w:pStyle w:val="BodyTextIndent"/>
        <w:rPr>
          <w:rFonts w:ascii="Arial" w:hAnsi="Arial" w:cs="Arial"/>
          <w:bCs/>
        </w:rPr>
      </w:pPr>
      <w:r>
        <w:rPr>
          <w:rFonts w:ascii="Arial" w:hAnsi="Arial" w:cs="Arial"/>
          <w:bCs/>
        </w:rPr>
        <w:t>This tab shows the three discrete element of non-core funding that are included within the Board:</w:t>
      </w:r>
    </w:p>
    <w:p w:rsidR="00F64E0F" w:rsidRDefault="00F64E0F" w:rsidP="00515DFD">
      <w:pPr>
        <w:pStyle w:val="BodyTextIndent"/>
        <w:rPr>
          <w:rFonts w:ascii="Arial" w:hAnsi="Arial" w:cs="Arial"/>
          <w:bCs/>
        </w:rPr>
      </w:pPr>
    </w:p>
    <w:p w:rsidR="00F64E0F" w:rsidRDefault="00F64E0F" w:rsidP="00515DFD">
      <w:pPr>
        <w:pStyle w:val="BodyTextIndent"/>
        <w:numPr>
          <w:ilvl w:val="0"/>
          <w:numId w:val="17"/>
        </w:numPr>
        <w:rPr>
          <w:rFonts w:ascii="Arial" w:hAnsi="Arial" w:cs="Arial"/>
          <w:bCs/>
        </w:rPr>
      </w:pPr>
      <w:r>
        <w:rPr>
          <w:rFonts w:ascii="Arial" w:hAnsi="Arial" w:cs="Arial"/>
          <w:bCs/>
        </w:rPr>
        <w:t>Depreciation – this is an annual transfer from core RRL each year and the budget is based on a detailed depreciation budget prepared annually;</w:t>
      </w:r>
    </w:p>
    <w:p w:rsidR="00F64E0F" w:rsidRDefault="00F64E0F" w:rsidP="00515DFD">
      <w:pPr>
        <w:pStyle w:val="BodyTextIndent"/>
        <w:numPr>
          <w:ilvl w:val="0"/>
          <w:numId w:val="17"/>
        </w:numPr>
        <w:rPr>
          <w:rFonts w:ascii="Arial" w:hAnsi="Arial" w:cs="Arial"/>
          <w:bCs/>
        </w:rPr>
      </w:pPr>
      <w:r>
        <w:rPr>
          <w:rFonts w:ascii="Arial" w:hAnsi="Arial" w:cs="Arial"/>
          <w:bCs/>
        </w:rPr>
        <w:t>Provisions – this is part of Annually Managed Expenditure and is managed and funded centrally,  this provision for the Board is compiled of  the movement on legal claims; and</w:t>
      </w:r>
    </w:p>
    <w:p w:rsidR="00F64E0F" w:rsidRDefault="00F64E0F" w:rsidP="00515DFD">
      <w:pPr>
        <w:pStyle w:val="BodyTextIndent"/>
        <w:numPr>
          <w:ilvl w:val="0"/>
          <w:numId w:val="17"/>
        </w:numPr>
        <w:rPr>
          <w:rFonts w:ascii="Arial" w:hAnsi="Arial" w:cs="Arial"/>
          <w:bCs/>
        </w:rPr>
      </w:pPr>
      <w:r>
        <w:rPr>
          <w:rFonts w:ascii="Arial" w:hAnsi="Arial" w:cs="Arial"/>
          <w:bCs/>
        </w:rPr>
        <w:t>Impairment – this also is part of Annually Manager Expenditure and is managed and funded centrally.</w:t>
      </w:r>
    </w:p>
    <w:p w:rsidR="00F64E0F" w:rsidRDefault="00F64E0F" w:rsidP="00515DFD">
      <w:pPr>
        <w:pStyle w:val="BodyTextIndent"/>
        <w:rPr>
          <w:rFonts w:ascii="Arial" w:hAnsi="Arial" w:cs="Arial"/>
          <w:bCs/>
        </w:rPr>
      </w:pPr>
    </w:p>
    <w:p w:rsidR="00F64E0F" w:rsidRDefault="00F64E0F" w:rsidP="00515DFD">
      <w:pPr>
        <w:pStyle w:val="BodyTextIndent"/>
        <w:rPr>
          <w:rFonts w:ascii="Arial" w:hAnsi="Arial" w:cs="Arial"/>
          <w:bCs/>
        </w:rPr>
      </w:pPr>
      <w:r>
        <w:rPr>
          <w:rFonts w:ascii="Arial" w:hAnsi="Arial" w:cs="Arial"/>
          <w:bCs/>
        </w:rPr>
        <w:t>There is a slight underspend in depreciation YTD, this relates to depreciation which has been caused by assets coming into use later than planned.</w:t>
      </w:r>
      <w:r w:rsidR="00FA2B08">
        <w:rPr>
          <w:rFonts w:ascii="Arial" w:hAnsi="Arial" w:cs="Arial"/>
          <w:bCs/>
        </w:rPr>
        <w:t xml:space="preserve">  It is proposed to request an additional movement between core and non-core funding to </w:t>
      </w:r>
      <w:r w:rsidR="00D81479">
        <w:rPr>
          <w:rFonts w:ascii="Arial" w:hAnsi="Arial" w:cs="Arial"/>
          <w:bCs/>
        </w:rPr>
        <w:t>cover this increase in expenditure.</w:t>
      </w:r>
    </w:p>
    <w:p w:rsidR="00F64E0F" w:rsidRPr="0020693E" w:rsidRDefault="00F64E0F" w:rsidP="00515DFD">
      <w:pPr>
        <w:pStyle w:val="BodyTextIndent"/>
        <w:rPr>
          <w:rFonts w:ascii="Arial" w:hAnsi="Arial" w:cs="Arial"/>
          <w:bCs/>
          <w:sz w:val="16"/>
          <w:szCs w:val="16"/>
        </w:rPr>
      </w:pPr>
    </w:p>
    <w:p w:rsidR="00F64E0F" w:rsidRDefault="00F64E0F" w:rsidP="00515DFD">
      <w:pPr>
        <w:pStyle w:val="BodyTextIndent"/>
        <w:rPr>
          <w:rFonts w:ascii="Arial" w:hAnsi="Arial" w:cs="Arial"/>
          <w:bCs/>
        </w:rPr>
      </w:pPr>
      <w:r>
        <w:rPr>
          <w:rFonts w:ascii="Arial" w:hAnsi="Arial" w:cs="Arial"/>
          <w:bCs/>
        </w:rPr>
        <w:t>There has been significant movement in the value of provisions in month due to the increase in value of a specific clinical claim which we are having detailed discussions with the CLO about.</w:t>
      </w:r>
    </w:p>
    <w:p w:rsidR="00F64E0F" w:rsidRDefault="00F64E0F" w:rsidP="00515DFD">
      <w:pPr>
        <w:pStyle w:val="BodyTextIndent"/>
        <w:rPr>
          <w:rFonts w:ascii="Arial" w:hAnsi="Arial" w:cs="Arial"/>
          <w:bCs/>
        </w:rPr>
      </w:pPr>
    </w:p>
    <w:p w:rsidR="00D81479" w:rsidRDefault="00F64E0F" w:rsidP="00515DFD">
      <w:pPr>
        <w:pStyle w:val="BodyTextIndent"/>
        <w:rPr>
          <w:rFonts w:ascii="Arial" w:hAnsi="Arial" w:cs="Arial"/>
          <w:bCs/>
        </w:rPr>
      </w:pPr>
      <w:r>
        <w:rPr>
          <w:rFonts w:ascii="Arial" w:hAnsi="Arial" w:cs="Arial"/>
          <w:bCs/>
        </w:rPr>
        <w:t xml:space="preserve">It is proposed to reduce the funding for impairment </w:t>
      </w:r>
      <w:r w:rsidR="00D81479">
        <w:rPr>
          <w:rFonts w:ascii="Arial" w:hAnsi="Arial" w:cs="Arial"/>
          <w:bCs/>
        </w:rPr>
        <w:t xml:space="preserve">further </w:t>
      </w:r>
      <w:r>
        <w:rPr>
          <w:rFonts w:ascii="Arial" w:hAnsi="Arial" w:cs="Arial"/>
          <w:bCs/>
        </w:rPr>
        <w:t xml:space="preserve">in month </w:t>
      </w:r>
      <w:r w:rsidR="00D81479">
        <w:rPr>
          <w:rFonts w:ascii="Arial" w:hAnsi="Arial" w:cs="Arial"/>
          <w:bCs/>
        </w:rPr>
        <w:t>eleven</w:t>
      </w:r>
      <w:r>
        <w:rPr>
          <w:rFonts w:ascii="Arial" w:hAnsi="Arial" w:cs="Arial"/>
          <w:bCs/>
        </w:rPr>
        <w:t xml:space="preserve"> to reflect the position in relation to building works in the current year. This will be reduced to </w:t>
      </w:r>
      <w:r w:rsidR="00D81479">
        <w:rPr>
          <w:rFonts w:ascii="Arial" w:hAnsi="Arial" w:cs="Arial"/>
          <w:bCs/>
        </w:rPr>
        <w:t>zero</w:t>
      </w:r>
      <w:r>
        <w:rPr>
          <w:rFonts w:ascii="Arial" w:hAnsi="Arial" w:cs="Arial"/>
          <w:bCs/>
        </w:rPr>
        <w:t xml:space="preserve"> </w:t>
      </w:r>
      <w:r w:rsidR="00D81479">
        <w:rPr>
          <w:rFonts w:ascii="Arial" w:hAnsi="Arial" w:cs="Arial"/>
          <w:bCs/>
        </w:rPr>
        <w:t>as the building work element of the capital plan was been moved into 2017/18.</w:t>
      </w:r>
    </w:p>
    <w:p w:rsidR="00D81479" w:rsidRDefault="00D81479" w:rsidP="00515DFD">
      <w:pPr>
        <w:pStyle w:val="BodyTextIndent"/>
        <w:rPr>
          <w:rFonts w:ascii="Arial" w:hAnsi="Arial" w:cs="Arial"/>
          <w:bCs/>
        </w:rPr>
      </w:pPr>
    </w:p>
    <w:p w:rsidR="00F64E0F" w:rsidRDefault="00F64E0F" w:rsidP="00515DFD">
      <w:pPr>
        <w:numPr>
          <w:ilvl w:val="0"/>
          <w:numId w:val="5"/>
        </w:numPr>
        <w:tabs>
          <w:tab w:val="clear" w:pos="720"/>
          <w:tab w:val="num" w:pos="360"/>
        </w:tabs>
        <w:rPr>
          <w:rFonts w:ascii="Arial" w:hAnsi="Arial" w:cs="Arial"/>
          <w:b/>
          <w:bCs/>
          <w:iCs/>
        </w:rPr>
      </w:pPr>
      <w:r w:rsidRPr="00333BD2">
        <w:rPr>
          <w:rFonts w:ascii="Arial" w:hAnsi="Arial" w:cs="Arial"/>
          <w:b/>
          <w:bCs/>
          <w:iCs/>
        </w:rPr>
        <w:t>Capital Spend</w:t>
      </w:r>
    </w:p>
    <w:p w:rsidR="00515DFD" w:rsidRPr="00333BD2" w:rsidRDefault="00515DFD" w:rsidP="00515DFD">
      <w:pPr>
        <w:ind w:left="720"/>
        <w:rPr>
          <w:rFonts w:ascii="Arial" w:hAnsi="Arial" w:cs="Arial"/>
          <w:b/>
          <w:bCs/>
          <w:iCs/>
        </w:rPr>
      </w:pPr>
    </w:p>
    <w:p w:rsidR="00F64E0F" w:rsidRPr="0020693E" w:rsidRDefault="00F64E0F" w:rsidP="00515DFD">
      <w:pPr>
        <w:rPr>
          <w:rFonts w:ascii="Arial" w:hAnsi="Arial" w:cs="Arial"/>
          <w:b/>
          <w:iCs/>
          <w:sz w:val="16"/>
          <w:szCs w:val="16"/>
        </w:rPr>
      </w:pPr>
    </w:p>
    <w:p w:rsidR="00F64E0F" w:rsidRDefault="00F64E0F" w:rsidP="00515DFD">
      <w:pPr>
        <w:ind w:left="360"/>
        <w:rPr>
          <w:rFonts w:ascii="Arial" w:hAnsi="Arial" w:cs="Arial"/>
          <w:iCs/>
        </w:rPr>
      </w:pPr>
      <w:r>
        <w:rPr>
          <w:rFonts w:ascii="Arial" w:hAnsi="Arial" w:cs="Arial"/>
          <w:iCs/>
        </w:rPr>
        <w:t xml:space="preserve">A report on the capital spend position has been included at appendix 1 page 6; at the end of month </w:t>
      </w:r>
      <w:r w:rsidR="00D81479">
        <w:rPr>
          <w:rFonts w:ascii="Arial" w:hAnsi="Arial" w:cs="Arial"/>
          <w:iCs/>
        </w:rPr>
        <w:t>eleven</w:t>
      </w:r>
      <w:r>
        <w:rPr>
          <w:rFonts w:ascii="Arial" w:hAnsi="Arial" w:cs="Arial"/>
          <w:iCs/>
        </w:rPr>
        <w:t xml:space="preserve"> capital expenditure is £</w:t>
      </w:r>
      <w:r w:rsidR="00D81479">
        <w:rPr>
          <w:rFonts w:ascii="Arial" w:hAnsi="Arial" w:cs="Arial"/>
          <w:iCs/>
        </w:rPr>
        <w:t>1.711m</w:t>
      </w:r>
      <w:r>
        <w:rPr>
          <w:rFonts w:ascii="Arial" w:hAnsi="Arial" w:cs="Arial"/>
          <w:iCs/>
        </w:rPr>
        <w:t xml:space="preserve">, this is line with the plan for the year as the majority of the spend routinely takes place in the second half of the year.  </w:t>
      </w:r>
    </w:p>
    <w:p w:rsidR="00F64E0F" w:rsidRPr="0020693E" w:rsidRDefault="00F64E0F" w:rsidP="00515DFD">
      <w:pPr>
        <w:ind w:left="360"/>
        <w:rPr>
          <w:rFonts w:ascii="Arial" w:hAnsi="Arial" w:cs="Arial"/>
          <w:iCs/>
          <w:sz w:val="16"/>
          <w:szCs w:val="16"/>
        </w:rPr>
      </w:pPr>
    </w:p>
    <w:p w:rsidR="00F64E0F" w:rsidRPr="0020693E" w:rsidRDefault="00F64E0F" w:rsidP="00515DFD">
      <w:pPr>
        <w:rPr>
          <w:rFonts w:ascii="Arial" w:hAnsi="Arial" w:cs="Arial"/>
          <w:sz w:val="16"/>
          <w:szCs w:val="16"/>
        </w:rPr>
      </w:pPr>
    </w:p>
    <w:p w:rsidR="00F64E0F" w:rsidRPr="00FB7212" w:rsidRDefault="00F64E0F" w:rsidP="00515DFD">
      <w:pPr>
        <w:numPr>
          <w:ilvl w:val="0"/>
          <w:numId w:val="5"/>
        </w:numPr>
        <w:tabs>
          <w:tab w:val="clear" w:pos="720"/>
          <w:tab w:val="num" w:pos="360"/>
        </w:tabs>
        <w:rPr>
          <w:rFonts w:ascii="Arial" w:hAnsi="Arial" w:cs="Arial"/>
          <w:b/>
          <w:bCs/>
          <w:iCs/>
        </w:rPr>
      </w:pPr>
      <w:r w:rsidRPr="00FB7212">
        <w:rPr>
          <w:rFonts w:ascii="Arial" w:hAnsi="Arial" w:cs="Arial"/>
          <w:b/>
          <w:bCs/>
          <w:iCs/>
        </w:rPr>
        <w:t>Conclusion</w:t>
      </w:r>
    </w:p>
    <w:p w:rsidR="00F64E0F" w:rsidRPr="0020693E" w:rsidRDefault="00F64E0F" w:rsidP="00515DFD">
      <w:pPr>
        <w:rPr>
          <w:rFonts w:ascii="Arial" w:hAnsi="Arial" w:cs="Arial"/>
          <w:b/>
          <w:iCs/>
          <w:sz w:val="16"/>
          <w:szCs w:val="16"/>
        </w:rPr>
      </w:pPr>
    </w:p>
    <w:p w:rsidR="00F64E0F" w:rsidRPr="00FB7212" w:rsidRDefault="00F64E0F" w:rsidP="00515DFD">
      <w:pPr>
        <w:pStyle w:val="BodyTextIndent"/>
        <w:rPr>
          <w:rFonts w:ascii="Arial" w:hAnsi="Arial" w:cs="Arial"/>
          <w:iCs w:val="0"/>
        </w:rPr>
      </w:pPr>
      <w:r w:rsidRPr="00FB7212">
        <w:rPr>
          <w:rFonts w:ascii="Arial" w:hAnsi="Arial" w:cs="Arial"/>
          <w:iCs w:val="0"/>
        </w:rPr>
        <w:t xml:space="preserve">The </w:t>
      </w:r>
      <w:r>
        <w:rPr>
          <w:rFonts w:ascii="Arial" w:hAnsi="Arial" w:cs="Arial"/>
          <w:iCs w:val="0"/>
        </w:rPr>
        <w:t xml:space="preserve">core </w:t>
      </w:r>
      <w:r w:rsidRPr="00FB7212">
        <w:rPr>
          <w:rFonts w:ascii="Arial" w:hAnsi="Arial" w:cs="Arial"/>
          <w:iCs w:val="0"/>
        </w:rPr>
        <w:t xml:space="preserve">position to date demonstrates an in-year </w:t>
      </w:r>
      <w:r>
        <w:rPr>
          <w:rFonts w:ascii="Arial" w:hAnsi="Arial" w:cs="Arial"/>
          <w:iCs w:val="0"/>
        </w:rPr>
        <w:t>underspend in line with the finance plan</w:t>
      </w:r>
    </w:p>
    <w:p w:rsidR="00F64E0F" w:rsidRPr="0020693E" w:rsidRDefault="00F64E0F" w:rsidP="00515DFD">
      <w:pPr>
        <w:pStyle w:val="BodyTextIndent"/>
        <w:ind w:left="0"/>
        <w:rPr>
          <w:rFonts w:ascii="Arial" w:hAnsi="Arial" w:cs="Arial"/>
          <w:iCs w:val="0"/>
          <w:sz w:val="16"/>
          <w:szCs w:val="16"/>
        </w:rPr>
      </w:pPr>
    </w:p>
    <w:p w:rsidR="00F64E0F" w:rsidRPr="00FB7212" w:rsidRDefault="00F64E0F" w:rsidP="00515DFD">
      <w:pPr>
        <w:pStyle w:val="BodyTextIndent"/>
        <w:ind w:left="0"/>
        <w:rPr>
          <w:rFonts w:ascii="Arial" w:hAnsi="Arial" w:cs="Arial"/>
          <w:b/>
          <w:iCs w:val="0"/>
        </w:rPr>
      </w:pPr>
      <w:r w:rsidRPr="00FB7212">
        <w:rPr>
          <w:rFonts w:ascii="Arial" w:hAnsi="Arial" w:cs="Arial"/>
          <w:b/>
          <w:iCs w:val="0"/>
        </w:rPr>
        <w:lastRenderedPageBreak/>
        <w:t>Julie Carter</w:t>
      </w:r>
    </w:p>
    <w:p w:rsidR="00F64E0F" w:rsidRPr="00FB7212" w:rsidRDefault="00F64E0F" w:rsidP="00515DFD">
      <w:pPr>
        <w:pStyle w:val="BodyTextIndent"/>
        <w:ind w:left="0"/>
        <w:rPr>
          <w:rFonts w:ascii="Arial" w:hAnsi="Arial" w:cs="Arial"/>
          <w:b/>
          <w:iCs w:val="0"/>
        </w:rPr>
      </w:pPr>
      <w:r w:rsidRPr="00FB7212">
        <w:rPr>
          <w:rFonts w:ascii="Arial" w:hAnsi="Arial" w:cs="Arial"/>
          <w:b/>
          <w:iCs w:val="0"/>
        </w:rPr>
        <w:t>Director of Finance</w:t>
      </w:r>
    </w:p>
    <w:p w:rsidR="00F64E0F" w:rsidRDefault="00515DFD" w:rsidP="00515DFD">
      <w:pPr>
        <w:rPr>
          <w:rFonts w:ascii="Arial" w:hAnsi="Arial" w:cs="Arial"/>
          <w:b/>
        </w:rPr>
      </w:pPr>
      <w:r>
        <w:rPr>
          <w:rFonts w:ascii="Arial" w:hAnsi="Arial" w:cs="Arial"/>
          <w:b/>
        </w:rPr>
        <w:t>21</w:t>
      </w:r>
      <w:r w:rsidR="00F64E0F">
        <w:rPr>
          <w:rFonts w:ascii="Arial" w:hAnsi="Arial" w:cs="Arial"/>
          <w:b/>
        </w:rPr>
        <w:t xml:space="preserve"> March 2017</w:t>
      </w:r>
    </w:p>
    <w:p w:rsidR="00F64E0F" w:rsidRDefault="00F64E0F" w:rsidP="00515DFD">
      <w:pPr>
        <w:pStyle w:val="BodyTextIndent"/>
        <w:ind w:left="0"/>
        <w:rPr>
          <w:rFonts w:ascii="Arial" w:hAnsi="Arial" w:cs="Arial"/>
          <w:b/>
          <w:iCs w:val="0"/>
        </w:rPr>
      </w:pPr>
    </w:p>
    <w:p w:rsidR="00F64E0F" w:rsidRDefault="00515DFD" w:rsidP="00515DFD">
      <w:pPr>
        <w:pStyle w:val="BodyTextIndent"/>
        <w:ind w:left="0"/>
        <w:rPr>
          <w:rFonts w:ascii="Arial" w:hAnsi="Arial" w:cs="Arial"/>
        </w:rPr>
      </w:pPr>
      <w:r>
        <w:rPr>
          <w:rFonts w:ascii="Arial" w:hAnsi="Arial" w:cs="Arial"/>
        </w:rPr>
        <w:t xml:space="preserve">(Lily Bryson, </w:t>
      </w:r>
      <w:r w:rsidR="00F64E0F">
        <w:rPr>
          <w:rFonts w:ascii="Arial" w:hAnsi="Arial" w:cs="Arial"/>
        </w:rPr>
        <w:t>Assistant</w:t>
      </w:r>
      <w:r w:rsidR="00F64E0F" w:rsidRPr="00B47B01">
        <w:rPr>
          <w:rFonts w:ascii="Arial" w:hAnsi="Arial" w:cs="Arial"/>
        </w:rPr>
        <w:t xml:space="preserve"> Director of Finance</w:t>
      </w:r>
      <w:r>
        <w:rPr>
          <w:rFonts w:ascii="Arial" w:hAnsi="Arial" w:cs="Arial"/>
        </w:rPr>
        <w:t xml:space="preserve">, </w:t>
      </w:r>
      <w:r w:rsidR="00F64E0F">
        <w:rPr>
          <w:rFonts w:ascii="Arial" w:hAnsi="Arial" w:cs="Arial"/>
        </w:rPr>
        <w:t>Governance and Financial Accounting</w:t>
      </w:r>
      <w:r>
        <w:rPr>
          <w:rFonts w:ascii="Arial" w:hAnsi="Arial" w:cs="Arial"/>
        </w:rPr>
        <w:t>)</w:t>
      </w:r>
    </w:p>
    <w:p w:rsidR="00F64E0F" w:rsidRPr="0072590E" w:rsidRDefault="00515DFD" w:rsidP="00515DFD">
      <w:pPr>
        <w:pStyle w:val="BodyTextIndent"/>
        <w:ind w:left="0"/>
        <w:rPr>
          <w:rFonts w:ascii="Arial" w:hAnsi="Arial" w:cs="Arial"/>
        </w:rPr>
      </w:pPr>
      <w:r>
        <w:rPr>
          <w:rFonts w:ascii="Arial" w:hAnsi="Arial" w:cs="Arial"/>
        </w:rPr>
        <w:t>(Elizabeth O’Brien,</w:t>
      </w:r>
      <w:r w:rsidR="00F64E0F">
        <w:rPr>
          <w:rFonts w:ascii="Arial" w:hAnsi="Arial" w:cs="Arial"/>
        </w:rPr>
        <w:t xml:space="preserve"> Assistant Director of Finance</w:t>
      </w:r>
      <w:r>
        <w:rPr>
          <w:rFonts w:ascii="Arial" w:hAnsi="Arial" w:cs="Arial"/>
        </w:rPr>
        <w:t xml:space="preserve">, </w:t>
      </w:r>
      <w:r w:rsidR="00F64E0F">
        <w:rPr>
          <w:rFonts w:ascii="Arial" w:hAnsi="Arial" w:cs="Arial"/>
        </w:rPr>
        <w:t>Financial Management)</w:t>
      </w:r>
    </w:p>
    <w:p w:rsidR="00B10541" w:rsidRDefault="00B10541" w:rsidP="00515DFD">
      <w:pPr>
        <w:rPr>
          <w:rFonts w:ascii="Arial" w:hAnsi="Arial" w:cs="Arial"/>
          <w:i/>
          <w:iCs/>
        </w:rPr>
      </w:pPr>
    </w:p>
    <w:p w:rsidR="00B10541" w:rsidRPr="0072590E" w:rsidRDefault="00B10541" w:rsidP="00515DFD">
      <w:pPr>
        <w:pStyle w:val="Heading6"/>
        <w:jc w:val="left"/>
        <w:rPr>
          <w:rFonts w:ascii="Arial" w:hAnsi="Arial" w:cs="Arial"/>
        </w:rPr>
      </w:pPr>
    </w:p>
    <w:sectPr w:rsidR="00B10541" w:rsidRPr="0072590E" w:rsidSect="009216AF">
      <w:footerReference w:type="even" r:id="rId8"/>
      <w:footerReference w:type="default" r:id="rId9"/>
      <w:footerReference w:type="first" r:id="rId10"/>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DFD" w:rsidRDefault="00515DFD">
      <w:r>
        <w:separator/>
      </w:r>
    </w:p>
  </w:endnote>
  <w:endnote w:type="continuationSeparator" w:id="0">
    <w:p w:rsidR="00515DFD" w:rsidRDefault="00515DF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w:altName w:val="Arial"/>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FD" w:rsidRDefault="00515D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5DFD" w:rsidRDefault="00515DF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6948"/>
      <w:docPartObj>
        <w:docPartGallery w:val="Page Numbers (Bottom of Page)"/>
        <w:docPartUnique/>
      </w:docPartObj>
    </w:sdtPr>
    <w:sdtEndPr>
      <w:rPr>
        <w:rFonts w:ascii="Arial" w:hAnsi="Arial" w:cs="Arial"/>
      </w:rPr>
    </w:sdtEndPr>
    <w:sdtContent>
      <w:p w:rsidR="00515DFD" w:rsidRDefault="00515DFD" w:rsidP="009216AF">
        <w:pPr>
          <w:pStyle w:val="Footer"/>
          <w:pBdr>
            <w:bottom w:val="single" w:sz="12" w:space="1" w:color="auto"/>
          </w:pBdr>
          <w:tabs>
            <w:tab w:val="clear" w:pos="8306"/>
            <w:tab w:val="right" w:pos="8647"/>
          </w:tabs>
          <w:ind w:hanging="567"/>
          <w:jc w:val="center"/>
        </w:pPr>
      </w:p>
      <w:p w:rsidR="00515DFD" w:rsidRDefault="00515DFD" w:rsidP="009216AF">
        <w:pPr>
          <w:pStyle w:val="Footer"/>
          <w:tabs>
            <w:tab w:val="clear" w:pos="8306"/>
            <w:tab w:val="right" w:pos="8647"/>
          </w:tabs>
          <w:ind w:hanging="567"/>
          <w:jc w:val="center"/>
        </w:pPr>
      </w:p>
      <w:p w:rsidR="00515DFD" w:rsidRPr="009216AF" w:rsidRDefault="00515DFD" w:rsidP="009216AF">
        <w:pPr>
          <w:pStyle w:val="Footer"/>
          <w:tabs>
            <w:tab w:val="clear" w:pos="8306"/>
            <w:tab w:val="right" w:pos="8647"/>
          </w:tabs>
          <w:ind w:hanging="567"/>
          <w:jc w:val="center"/>
          <w:rPr>
            <w:rFonts w:ascii="Arial" w:hAnsi="Arial" w:cs="Arial"/>
          </w:rPr>
        </w:pPr>
        <w:r w:rsidRPr="009216AF">
          <w:rPr>
            <w:rFonts w:ascii="Arial" w:hAnsi="Arial" w:cs="Arial"/>
          </w:rPr>
          <w:fldChar w:fldCharType="begin"/>
        </w:r>
        <w:r w:rsidRPr="009216AF">
          <w:rPr>
            <w:rFonts w:ascii="Arial" w:hAnsi="Arial" w:cs="Arial"/>
          </w:rPr>
          <w:instrText xml:space="preserve"> PAGE   \* MERGEFORMAT </w:instrText>
        </w:r>
        <w:r w:rsidRPr="009216AF">
          <w:rPr>
            <w:rFonts w:ascii="Arial" w:hAnsi="Arial" w:cs="Arial"/>
          </w:rPr>
          <w:fldChar w:fldCharType="separate"/>
        </w:r>
        <w:r w:rsidR="002F1DE7">
          <w:rPr>
            <w:rFonts w:ascii="Arial" w:hAnsi="Arial" w:cs="Arial"/>
            <w:noProof/>
          </w:rPr>
          <w:t>2</w:t>
        </w:r>
        <w:r w:rsidRPr="009216AF">
          <w:rPr>
            <w:rFonts w:ascii="Arial" w:hAnsi="Arial" w:cs="Arial"/>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6958"/>
      <w:docPartObj>
        <w:docPartGallery w:val="Page Numbers (Bottom of Page)"/>
        <w:docPartUnique/>
      </w:docPartObj>
    </w:sdtPr>
    <w:sdtEndPr>
      <w:rPr>
        <w:rFonts w:ascii="Arial" w:hAnsi="Arial" w:cs="Arial"/>
      </w:rPr>
    </w:sdtEndPr>
    <w:sdtContent>
      <w:p w:rsidR="00515DFD" w:rsidRDefault="00515DFD" w:rsidP="009216AF">
        <w:pPr>
          <w:pStyle w:val="Footer"/>
          <w:pBdr>
            <w:bottom w:val="single" w:sz="12" w:space="1" w:color="auto"/>
          </w:pBdr>
          <w:tabs>
            <w:tab w:val="clear" w:pos="8306"/>
            <w:tab w:val="right" w:pos="8647"/>
          </w:tabs>
          <w:ind w:hanging="567"/>
          <w:jc w:val="center"/>
        </w:pPr>
      </w:p>
      <w:p w:rsidR="00515DFD" w:rsidRDefault="00515DFD" w:rsidP="009216AF">
        <w:pPr>
          <w:pStyle w:val="Footer"/>
          <w:tabs>
            <w:tab w:val="clear" w:pos="8306"/>
            <w:tab w:val="right" w:pos="8647"/>
          </w:tabs>
          <w:ind w:hanging="567"/>
          <w:jc w:val="center"/>
        </w:pPr>
      </w:p>
      <w:p w:rsidR="00515DFD" w:rsidRPr="009216AF" w:rsidRDefault="00515DFD" w:rsidP="009216AF">
        <w:pPr>
          <w:pStyle w:val="Footer"/>
          <w:tabs>
            <w:tab w:val="clear" w:pos="8306"/>
            <w:tab w:val="right" w:pos="8647"/>
          </w:tabs>
          <w:ind w:hanging="567"/>
          <w:jc w:val="center"/>
          <w:rPr>
            <w:rFonts w:ascii="Arial" w:hAnsi="Arial" w:cs="Arial"/>
          </w:rPr>
        </w:pPr>
        <w:r w:rsidRPr="009216AF">
          <w:rPr>
            <w:rFonts w:ascii="Arial" w:hAnsi="Arial" w:cs="Arial"/>
          </w:rPr>
          <w:fldChar w:fldCharType="begin"/>
        </w:r>
        <w:r w:rsidRPr="009216AF">
          <w:rPr>
            <w:rFonts w:ascii="Arial" w:hAnsi="Arial" w:cs="Arial"/>
          </w:rPr>
          <w:instrText xml:space="preserve"> PAGE   \* MERGEFORMAT </w:instrText>
        </w:r>
        <w:r w:rsidRPr="009216AF">
          <w:rPr>
            <w:rFonts w:ascii="Arial" w:hAnsi="Arial" w:cs="Arial"/>
          </w:rPr>
          <w:fldChar w:fldCharType="separate"/>
        </w:r>
        <w:r w:rsidR="002F1DE7">
          <w:rPr>
            <w:rFonts w:ascii="Arial" w:hAnsi="Arial" w:cs="Arial"/>
            <w:noProof/>
          </w:rPr>
          <w:t>1</w:t>
        </w:r>
        <w:r w:rsidRPr="009216AF">
          <w:rPr>
            <w:rFonts w:ascii="Arial" w:hAnsi="Arial" w:cs="Arial"/>
          </w:rPr>
          <w:fldChar w:fldCharType="end"/>
        </w:r>
      </w:p>
    </w:sdtContent>
  </w:sdt>
  <w:p w:rsidR="00515DFD" w:rsidRPr="009216AF" w:rsidRDefault="00515DFD" w:rsidP="009216AF">
    <w:pPr>
      <w:ind w:left="-540" w:right="184"/>
      <w:jc w:val="center"/>
      <w:rPr>
        <w:rFonts w:ascii="Arial" w:hAnsi="Arial" w:cs="Arial"/>
        <w:sz w:val="20"/>
        <w:szCs w:val="20"/>
      </w:rPr>
    </w:pPr>
    <w:r w:rsidRPr="009216AF">
      <w:rPr>
        <w:rFonts w:ascii="Arial" w:hAnsi="Arial" w:cs="Arial"/>
        <w:noProof/>
        <w:lang w:eastAsia="en-GB"/>
      </w:rPr>
      <w:drawing>
        <wp:anchor distT="0" distB="0" distL="114300" distR="114300" simplePos="0" relativeHeight="251661312"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4"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pic:spPr>
              </pic:pic>
            </a:graphicData>
          </a:graphic>
        </wp:anchor>
      </w:drawing>
    </w:r>
  </w:p>
  <w:p w:rsidR="00515DFD" w:rsidRPr="009216AF" w:rsidRDefault="00515DFD" w:rsidP="009216AF">
    <w:pPr>
      <w:pStyle w:val="Title"/>
      <w:ind w:left="-540" w:right="184" w:hanging="27"/>
      <w:jc w:val="left"/>
      <w:outlineLvl w:val="0"/>
      <w:rPr>
        <w:rFonts w:ascii="Arial" w:hAnsi="Arial" w:cs="Arial"/>
        <w:sz w:val="18"/>
        <w:szCs w:val="18"/>
      </w:rPr>
    </w:pPr>
    <w:r w:rsidRPr="009216AF">
      <w:rPr>
        <w:rFonts w:ascii="Arial" w:hAnsi="Arial" w:cs="Arial"/>
        <w:sz w:val="18"/>
        <w:szCs w:val="18"/>
      </w:rPr>
      <w:t>The Golden Jubilee Foundation is the new brand name for the NHS National Waiting Times Centre.</w:t>
    </w:r>
  </w:p>
  <w:p w:rsidR="00515DFD" w:rsidRPr="009216AF" w:rsidRDefault="00515DFD" w:rsidP="009216AF">
    <w:pPr>
      <w:pStyle w:val="Title"/>
      <w:ind w:left="-540" w:right="184" w:hanging="27"/>
      <w:jc w:val="left"/>
      <w:outlineLvl w:val="0"/>
      <w:rPr>
        <w:rFonts w:ascii="Arial" w:hAnsi="Arial" w:cs="Arial"/>
        <w:sz w:val="18"/>
        <w:szCs w:val="18"/>
      </w:rPr>
    </w:pPr>
    <w:r w:rsidRPr="009216AF">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DFD" w:rsidRDefault="00515DFD">
      <w:r>
        <w:separator/>
      </w:r>
    </w:p>
  </w:footnote>
  <w:footnote w:type="continuationSeparator" w:id="0">
    <w:p w:rsidR="00515DFD" w:rsidRDefault="00515D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00C"/>
    <w:multiLevelType w:val="hybridMultilevel"/>
    <w:tmpl w:val="3522D204"/>
    <w:lvl w:ilvl="0" w:tplc="08090005">
      <w:start w:val="1"/>
      <w:numFmt w:val="bullet"/>
      <w:lvlText w:val=""/>
      <w:lvlJc w:val="left"/>
      <w:pPr>
        <w:ind w:left="1125" w:hanging="360"/>
      </w:pPr>
      <w:rPr>
        <w:rFonts w:ascii="Wingdings" w:hAnsi="Wingdings" w:hint="default"/>
      </w:rPr>
    </w:lvl>
    <w:lvl w:ilvl="1" w:tplc="08090003" w:tentative="1">
      <w:start w:val="1"/>
      <w:numFmt w:val="bullet"/>
      <w:lvlText w:val="o"/>
      <w:lvlJc w:val="left"/>
      <w:pPr>
        <w:ind w:left="1845" w:hanging="360"/>
      </w:pPr>
      <w:rPr>
        <w:rFonts w:ascii="Courier New" w:hAnsi="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1">
    <w:nsid w:val="04E85C29"/>
    <w:multiLevelType w:val="hybridMultilevel"/>
    <w:tmpl w:val="BBB45C72"/>
    <w:lvl w:ilvl="0" w:tplc="0809000F">
      <w:start w:val="1"/>
      <w:numFmt w:val="decimal"/>
      <w:lvlText w:val="%1."/>
      <w:lvlJc w:val="left"/>
      <w:pPr>
        <w:tabs>
          <w:tab w:val="num" w:pos="720"/>
        </w:tabs>
        <w:ind w:left="720" w:hanging="360"/>
      </w:pPr>
      <w:rPr>
        <w:rFonts w:cs="Times New Roman"/>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
    <w:nsid w:val="05D14FE4"/>
    <w:multiLevelType w:val="hybridMultilevel"/>
    <w:tmpl w:val="282EB40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C95545C"/>
    <w:multiLevelType w:val="hybridMultilevel"/>
    <w:tmpl w:val="0DC0E72C"/>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0C9A24C8"/>
    <w:multiLevelType w:val="hybridMultilevel"/>
    <w:tmpl w:val="748A548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0EA33E99"/>
    <w:multiLevelType w:val="hybridMultilevel"/>
    <w:tmpl w:val="45AC51E8"/>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6">
    <w:nsid w:val="13695B77"/>
    <w:multiLevelType w:val="hybridMultilevel"/>
    <w:tmpl w:val="50D8E7FE"/>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7">
    <w:nsid w:val="194F281A"/>
    <w:multiLevelType w:val="hybridMultilevel"/>
    <w:tmpl w:val="ABC07C9E"/>
    <w:lvl w:ilvl="0" w:tplc="08090005">
      <w:start w:val="1"/>
      <w:numFmt w:val="bullet"/>
      <w:lvlText w:val=""/>
      <w:lvlJc w:val="left"/>
      <w:pPr>
        <w:tabs>
          <w:tab w:val="num" w:pos="720"/>
        </w:tabs>
        <w:ind w:left="720" w:hanging="360"/>
      </w:pPr>
      <w:rPr>
        <w:rFonts w:ascii="Wingdings" w:hAnsi="Wingdings" w:hint="default"/>
        <w:color w:val="auto"/>
      </w:rPr>
    </w:lvl>
    <w:lvl w:ilvl="1" w:tplc="08090003">
      <w:start w:val="1"/>
      <w:numFmt w:val="decimal"/>
      <w:lvlText w:val="%2."/>
      <w:lvlJc w:val="left"/>
      <w:pPr>
        <w:tabs>
          <w:tab w:val="num" w:pos="1800"/>
        </w:tabs>
        <w:ind w:left="1800" w:hanging="360"/>
      </w:pPr>
      <w:rPr>
        <w:rFonts w:cs="Times New Roman"/>
      </w:rPr>
    </w:lvl>
    <w:lvl w:ilvl="2" w:tplc="08090005">
      <w:start w:val="1"/>
      <w:numFmt w:val="decimal"/>
      <w:lvlText w:val="%3."/>
      <w:lvlJc w:val="left"/>
      <w:pPr>
        <w:tabs>
          <w:tab w:val="num" w:pos="2520"/>
        </w:tabs>
        <w:ind w:left="2520" w:hanging="360"/>
      </w:pPr>
      <w:rPr>
        <w:rFonts w:cs="Times New Roman"/>
      </w:rPr>
    </w:lvl>
    <w:lvl w:ilvl="3" w:tplc="08090001">
      <w:start w:val="1"/>
      <w:numFmt w:val="decimal"/>
      <w:lvlText w:val="%4."/>
      <w:lvlJc w:val="left"/>
      <w:pPr>
        <w:tabs>
          <w:tab w:val="num" w:pos="3240"/>
        </w:tabs>
        <w:ind w:left="3240" w:hanging="360"/>
      </w:pPr>
      <w:rPr>
        <w:rFonts w:cs="Times New Roman"/>
      </w:rPr>
    </w:lvl>
    <w:lvl w:ilvl="4" w:tplc="08090003">
      <w:start w:val="1"/>
      <w:numFmt w:val="decimal"/>
      <w:lvlText w:val="%5."/>
      <w:lvlJc w:val="left"/>
      <w:pPr>
        <w:tabs>
          <w:tab w:val="num" w:pos="3960"/>
        </w:tabs>
        <w:ind w:left="3960" w:hanging="360"/>
      </w:pPr>
      <w:rPr>
        <w:rFonts w:cs="Times New Roman"/>
      </w:rPr>
    </w:lvl>
    <w:lvl w:ilvl="5" w:tplc="08090005">
      <w:start w:val="1"/>
      <w:numFmt w:val="decimal"/>
      <w:lvlText w:val="%6."/>
      <w:lvlJc w:val="left"/>
      <w:pPr>
        <w:tabs>
          <w:tab w:val="num" w:pos="4680"/>
        </w:tabs>
        <w:ind w:left="4680" w:hanging="360"/>
      </w:pPr>
      <w:rPr>
        <w:rFonts w:cs="Times New Roman"/>
      </w:rPr>
    </w:lvl>
    <w:lvl w:ilvl="6" w:tplc="08090001">
      <w:start w:val="1"/>
      <w:numFmt w:val="decimal"/>
      <w:lvlText w:val="%7."/>
      <w:lvlJc w:val="left"/>
      <w:pPr>
        <w:tabs>
          <w:tab w:val="num" w:pos="5400"/>
        </w:tabs>
        <w:ind w:left="5400" w:hanging="360"/>
      </w:pPr>
      <w:rPr>
        <w:rFonts w:cs="Times New Roman"/>
      </w:rPr>
    </w:lvl>
    <w:lvl w:ilvl="7" w:tplc="08090003">
      <w:start w:val="1"/>
      <w:numFmt w:val="decimal"/>
      <w:lvlText w:val="%8."/>
      <w:lvlJc w:val="left"/>
      <w:pPr>
        <w:tabs>
          <w:tab w:val="num" w:pos="6120"/>
        </w:tabs>
        <w:ind w:left="6120" w:hanging="360"/>
      </w:pPr>
      <w:rPr>
        <w:rFonts w:cs="Times New Roman"/>
      </w:rPr>
    </w:lvl>
    <w:lvl w:ilvl="8" w:tplc="08090005">
      <w:start w:val="1"/>
      <w:numFmt w:val="decimal"/>
      <w:lvlText w:val="%9."/>
      <w:lvlJc w:val="left"/>
      <w:pPr>
        <w:tabs>
          <w:tab w:val="num" w:pos="6840"/>
        </w:tabs>
        <w:ind w:left="6840" w:hanging="360"/>
      </w:pPr>
      <w:rPr>
        <w:rFonts w:cs="Times New Roman"/>
      </w:rPr>
    </w:lvl>
  </w:abstractNum>
  <w:abstractNum w:abstractNumId="8">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221F31CA"/>
    <w:multiLevelType w:val="hybridMultilevel"/>
    <w:tmpl w:val="7B085D9E"/>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22AF4477"/>
    <w:multiLevelType w:val="hybridMultilevel"/>
    <w:tmpl w:val="A8CE88F2"/>
    <w:lvl w:ilvl="0" w:tplc="08090005">
      <w:start w:val="1"/>
      <w:numFmt w:val="bullet"/>
      <w:lvlText w:val=""/>
      <w:lvlJc w:val="left"/>
      <w:pPr>
        <w:ind w:left="720"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26843D27"/>
    <w:multiLevelType w:val="hybridMultilevel"/>
    <w:tmpl w:val="AF34F4CA"/>
    <w:lvl w:ilvl="0" w:tplc="2F7E5AC2">
      <w:numFmt w:val="none"/>
      <w:lvlText w:val=""/>
      <w:lvlJc w:val="left"/>
      <w:pPr>
        <w:tabs>
          <w:tab w:val="num" w:pos="1209"/>
        </w:tabs>
        <w:ind w:left="1209" w:hanging="360"/>
      </w:pPr>
      <w:rPr>
        <w:rFonts w:cs="Times New Roman" w:hint="default"/>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nsid w:val="30A6168A"/>
    <w:multiLevelType w:val="hybridMultilevel"/>
    <w:tmpl w:val="D94AA26A"/>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13">
    <w:nsid w:val="327B59B5"/>
    <w:multiLevelType w:val="hybridMultilevel"/>
    <w:tmpl w:val="784C82CC"/>
    <w:lvl w:ilvl="0" w:tplc="44A8675A">
      <w:numFmt w:val="bullet"/>
      <w:lvlText w:val="-"/>
      <w:lvlJc w:val="left"/>
      <w:pPr>
        <w:ind w:left="720" w:hanging="360"/>
      </w:pPr>
      <w:rPr>
        <w:rFonts w:ascii="Calibri" w:eastAsia="Calibri" w:hAnsi="Calibri" w:cs="Calibri"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nsid w:val="328D0BD5"/>
    <w:multiLevelType w:val="hybridMultilevel"/>
    <w:tmpl w:val="31E46A84"/>
    <w:lvl w:ilvl="0" w:tplc="6FEC19CC">
      <w:start w:val="1"/>
      <w:numFmt w:val="decimal"/>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344C0A19"/>
    <w:multiLevelType w:val="hybridMultilevel"/>
    <w:tmpl w:val="01021A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39CE43D9"/>
    <w:multiLevelType w:val="hybridMultilevel"/>
    <w:tmpl w:val="49EE89E6"/>
    <w:lvl w:ilvl="0" w:tplc="04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42A90430"/>
    <w:multiLevelType w:val="hybridMultilevel"/>
    <w:tmpl w:val="CF8CA5F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4409443A"/>
    <w:multiLevelType w:val="hybridMultilevel"/>
    <w:tmpl w:val="4B0A0B5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481A51E5"/>
    <w:multiLevelType w:val="hybridMultilevel"/>
    <w:tmpl w:val="AC48D4B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8AD4650"/>
    <w:multiLevelType w:val="hybridMultilevel"/>
    <w:tmpl w:val="7384271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49AF03C1"/>
    <w:multiLevelType w:val="hybridMultilevel"/>
    <w:tmpl w:val="6E6C94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D395931"/>
    <w:multiLevelType w:val="hybridMultilevel"/>
    <w:tmpl w:val="A3965B60"/>
    <w:lvl w:ilvl="0" w:tplc="08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3">
    <w:nsid w:val="4E804CC5"/>
    <w:multiLevelType w:val="hybridMultilevel"/>
    <w:tmpl w:val="8C5C3BEA"/>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nsid w:val="54E92D38"/>
    <w:multiLevelType w:val="hybridMultilevel"/>
    <w:tmpl w:val="D124F628"/>
    <w:lvl w:ilvl="0" w:tplc="60FAE9B2">
      <w:numFmt w:val="bullet"/>
      <w:lvlText w:val="-"/>
      <w:lvlJc w:val="left"/>
      <w:pPr>
        <w:ind w:left="405"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56F4A96"/>
    <w:multiLevelType w:val="hybridMultilevel"/>
    <w:tmpl w:val="D1622FF8"/>
    <w:lvl w:ilvl="0" w:tplc="08090005">
      <w:start w:val="1"/>
      <w:numFmt w:val="bullet"/>
      <w:lvlText w:val=""/>
      <w:lvlJc w:val="left"/>
      <w:pPr>
        <w:ind w:left="1434" w:hanging="360"/>
      </w:pPr>
      <w:rPr>
        <w:rFonts w:ascii="Wingdings" w:hAnsi="Wingdings" w:hint="default"/>
      </w:rPr>
    </w:lvl>
    <w:lvl w:ilvl="1" w:tplc="08090003" w:tentative="1">
      <w:start w:val="1"/>
      <w:numFmt w:val="bullet"/>
      <w:lvlText w:val="o"/>
      <w:lvlJc w:val="left"/>
      <w:pPr>
        <w:ind w:left="2154" w:hanging="360"/>
      </w:pPr>
      <w:rPr>
        <w:rFonts w:ascii="Courier New" w:hAnsi="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26">
    <w:nsid w:val="59AA1F14"/>
    <w:multiLevelType w:val="hybridMultilevel"/>
    <w:tmpl w:val="055CF976"/>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decimal"/>
      <w:lvlText w:val="%3."/>
      <w:lvlJc w:val="left"/>
      <w:pPr>
        <w:tabs>
          <w:tab w:val="num" w:pos="2520"/>
        </w:tabs>
        <w:ind w:left="2520" w:hanging="360"/>
      </w:pPr>
      <w:rPr>
        <w:rFonts w:cs="Times New Roman"/>
      </w:rPr>
    </w:lvl>
    <w:lvl w:ilvl="3" w:tplc="08090001">
      <w:start w:val="1"/>
      <w:numFmt w:val="decimal"/>
      <w:lvlText w:val="%4."/>
      <w:lvlJc w:val="left"/>
      <w:pPr>
        <w:tabs>
          <w:tab w:val="num" w:pos="3240"/>
        </w:tabs>
        <w:ind w:left="3240" w:hanging="360"/>
      </w:pPr>
      <w:rPr>
        <w:rFonts w:cs="Times New Roman"/>
      </w:rPr>
    </w:lvl>
    <w:lvl w:ilvl="4" w:tplc="08090003">
      <w:start w:val="1"/>
      <w:numFmt w:val="decimal"/>
      <w:lvlText w:val="%5."/>
      <w:lvlJc w:val="left"/>
      <w:pPr>
        <w:tabs>
          <w:tab w:val="num" w:pos="3960"/>
        </w:tabs>
        <w:ind w:left="3960" w:hanging="360"/>
      </w:pPr>
      <w:rPr>
        <w:rFonts w:cs="Times New Roman"/>
      </w:rPr>
    </w:lvl>
    <w:lvl w:ilvl="5" w:tplc="08090005">
      <w:start w:val="1"/>
      <w:numFmt w:val="decimal"/>
      <w:lvlText w:val="%6."/>
      <w:lvlJc w:val="left"/>
      <w:pPr>
        <w:tabs>
          <w:tab w:val="num" w:pos="4680"/>
        </w:tabs>
        <w:ind w:left="4680" w:hanging="360"/>
      </w:pPr>
      <w:rPr>
        <w:rFonts w:cs="Times New Roman"/>
      </w:rPr>
    </w:lvl>
    <w:lvl w:ilvl="6" w:tplc="08090001">
      <w:start w:val="1"/>
      <w:numFmt w:val="decimal"/>
      <w:lvlText w:val="%7."/>
      <w:lvlJc w:val="left"/>
      <w:pPr>
        <w:tabs>
          <w:tab w:val="num" w:pos="5400"/>
        </w:tabs>
        <w:ind w:left="5400" w:hanging="360"/>
      </w:pPr>
      <w:rPr>
        <w:rFonts w:cs="Times New Roman"/>
      </w:rPr>
    </w:lvl>
    <w:lvl w:ilvl="7" w:tplc="08090003">
      <w:start w:val="1"/>
      <w:numFmt w:val="decimal"/>
      <w:lvlText w:val="%8."/>
      <w:lvlJc w:val="left"/>
      <w:pPr>
        <w:tabs>
          <w:tab w:val="num" w:pos="6120"/>
        </w:tabs>
        <w:ind w:left="6120" w:hanging="360"/>
      </w:pPr>
      <w:rPr>
        <w:rFonts w:cs="Times New Roman"/>
      </w:rPr>
    </w:lvl>
    <w:lvl w:ilvl="8" w:tplc="08090005">
      <w:start w:val="1"/>
      <w:numFmt w:val="decimal"/>
      <w:lvlText w:val="%9."/>
      <w:lvlJc w:val="left"/>
      <w:pPr>
        <w:tabs>
          <w:tab w:val="num" w:pos="6840"/>
        </w:tabs>
        <w:ind w:left="6840" w:hanging="360"/>
      </w:pPr>
      <w:rPr>
        <w:rFonts w:cs="Times New Roman"/>
      </w:rPr>
    </w:lvl>
  </w:abstractNum>
  <w:abstractNum w:abstractNumId="27">
    <w:nsid w:val="5DE26EB1"/>
    <w:multiLevelType w:val="hybridMultilevel"/>
    <w:tmpl w:val="3828D6A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8">
    <w:nsid w:val="5E01092C"/>
    <w:multiLevelType w:val="hybridMultilevel"/>
    <w:tmpl w:val="817843E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9">
    <w:nsid w:val="613D387A"/>
    <w:multiLevelType w:val="hybridMultilevel"/>
    <w:tmpl w:val="E0722E42"/>
    <w:lvl w:ilvl="0" w:tplc="08090005">
      <w:start w:val="1"/>
      <w:numFmt w:val="bullet"/>
      <w:lvlText w:val=""/>
      <w:lvlJc w:val="left"/>
      <w:pPr>
        <w:tabs>
          <w:tab w:val="num" w:pos="720"/>
        </w:tabs>
        <w:ind w:left="720" w:hanging="360"/>
      </w:pPr>
      <w:rPr>
        <w:rFonts w:ascii="Wingdings" w:hAnsi="Wingdings" w:hint="default"/>
        <w:color w:val="auto"/>
      </w:rPr>
    </w:lvl>
    <w:lvl w:ilvl="1" w:tplc="08090003">
      <w:start w:val="1"/>
      <w:numFmt w:val="decimal"/>
      <w:lvlText w:val="%2."/>
      <w:lvlJc w:val="left"/>
      <w:pPr>
        <w:tabs>
          <w:tab w:val="num" w:pos="1800"/>
        </w:tabs>
        <w:ind w:left="1800" w:hanging="360"/>
      </w:pPr>
      <w:rPr>
        <w:rFonts w:cs="Times New Roman"/>
      </w:rPr>
    </w:lvl>
    <w:lvl w:ilvl="2" w:tplc="08090005">
      <w:start w:val="1"/>
      <w:numFmt w:val="decimal"/>
      <w:lvlText w:val="%3."/>
      <w:lvlJc w:val="left"/>
      <w:pPr>
        <w:tabs>
          <w:tab w:val="num" w:pos="2520"/>
        </w:tabs>
        <w:ind w:left="2520" w:hanging="360"/>
      </w:pPr>
      <w:rPr>
        <w:rFonts w:cs="Times New Roman"/>
      </w:rPr>
    </w:lvl>
    <w:lvl w:ilvl="3" w:tplc="08090001">
      <w:start w:val="1"/>
      <w:numFmt w:val="decimal"/>
      <w:lvlText w:val="%4."/>
      <w:lvlJc w:val="left"/>
      <w:pPr>
        <w:tabs>
          <w:tab w:val="num" w:pos="3240"/>
        </w:tabs>
        <w:ind w:left="3240" w:hanging="360"/>
      </w:pPr>
      <w:rPr>
        <w:rFonts w:cs="Times New Roman"/>
      </w:rPr>
    </w:lvl>
    <w:lvl w:ilvl="4" w:tplc="08090003">
      <w:start w:val="1"/>
      <w:numFmt w:val="decimal"/>
      <w:lvlText w:val="%5."/>
      <w:lvlJc w:val="left"/>
      <w:pPr>
        <w:tabs>
          <w:tab w:val="num" w:pos="3960"/>
        </w:tabs>
        <w:ind w:left="3960" w:hanging="360"/>
      </w:pPr>
      <w:rPr>
        <w:rFonts w:cs="Times New Roman"/>
      </w:rPr>
    </w:lvl>
    <w:lvl w:ilvl="5" w:tplc="08090005">
      <w:start w:val="1"/>
      <w:numFmt w:val="decimal"/>
      <w:lvlText w:val="%6."/>
      <w:lvlJc w:val="left"/>
      <w:pPr>
        <w:tabs>
          <w:tab w:val="num" w:pos="4680"/>
        </w:tabs>
        <w:ind w:left="4680" w:hanging="360"/>
      </w:pPr>
      <w:rPr>
        <w:rFonts w:cs="Times New Roman"/>
      </w:rPr>
    </w:lvl>
    <w:lvl w:ilvl="6" w:tplc="08090001">
      <w:start w:val="1"/>
      <w:numFmt w:val="decimal"/>
      <w:lvlText w:val="%7."/>
      <w:lvlJc w:val="left"/>
      <w:pPr>
        <w:tabs>
          <w:tab w:val="num" w:pos="5400"/>
        </w:tabs>
        <w:ind w:left="5400" w:hanging="360"/>
      </w:pPr>
      <w:rPr>
        <w:rFonts w:cs="Times New Roman"/>
      </w:rPr>
    </w:lvl>
    <w:lvl w:ilvl="7" w:tplc="08090003">
      <w:start w:val="1"/>
      <w:numFmt w:val="decimal"/>
      <w:lvlText w:val="%8."/>
      <w:lvlJc w:val="left"/>
      <w:pPr>
        <w:tabs>
          <w:tab w:val="num" w:pos="6120"/>
        </w:tabs>
        <w:ind w:left="6120" w:hanging="360"/>
      </w:pPr>
      <w:rPr>
        <w:rFonts w:cs="Times New Roman"/>
      </w:rPr>
    </w:lvl>
    <w:lvl w:ilvl="8" w:tplc="08090005">
      <w:start w:val="1"/>
      <w:numFmt w:val="decimal"/>
      <w:lvlText w:val="%9."/>
      <w:lvlJc w:val="left"/>
      <w:pPr>
        <w:tabs>
          <w:tab w:val="num" w:pos="6840"/>
        </w:tabs>
        <w:ind w:left="6840" w:hanging="360"/>
      </w:pPr>
      <w:rPr>
        <w:rFonts w:cs="Times New Roman"/>
      </w:rPr>
    </w:lvl>
  </w:abstractNum>
  <w:abstractNum w:abstractNumId="30">
    <w:nsid w:val="61763E3D"/>
    <w:multiLevelType w:val="hybridMultilevel"/>
    <w:tmpl w:val="B17453A4"/>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31">
    <w:nsid w:val="625B1B4B"/>
    <w:multiLevelType w:val="hybridMultilevel"/>
    <w:tmpl w:val="67AEE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98C7B60"/>
    <w:multiLevelType w:val="hybridMultilevel"/>
    <w:tmpl w:val="39C254F4"/>
    <w:lvl w:ilvl="0" w:tplc="08090005">
      <w:start w:val="1"/>
      <w:numFmt w:val="bullet"/>
      <w:lvlText w:val=""/>
      <w:lvlJc w:val="left"/>
      <w:pPr>
        <w:ind w:left="1929" w:hanging="360"/>
      </w:pPr>
      <w:rPr>
        <w:rFonts w:ascii="Wingdings" w:hAnsi="Wingdings" w:hint="default"/>
      </w:rPr>
    </w:lvl>
    <w:lvl w:ilvl="1" w:tplc="08090003" w:tentative="1">
      <w:start w:val="1"/>
      <w:numFmt w:val="bullet"/>
      <w:lvlText w:val="o"/>
      <w:lvlJc w:val="left"/>
      <w:pPr>
        <w:ind w:left="2649" w:hanging="360"/>
      </w:pPr>
      <w:rPr>
        <w:rFonts w:ascii="Courier New" w:hAnsi="Courier New" w:hint="default"/>
      </w:rPr>
    </w:lvl>
    <w:lvl w:ilvl="2" w:tplc="08090005" w:tentative="1">
      <w:start w:val="1"/>
      <w:numFmt w:val="bullet"/>
      <w:lvlText w:val=""/>
      <w:lvlJc w:val="left"/>
      <w:pPr>
        <w:ind w:left="3369" w:hanging="360"/>
      </w:pPr>
      <w:rPr>
        <w:rFonts w:ascii="Wingdings" w:hAnsi="Wingdings" w:hint="default"/>
      </w:rPr>
    </w:lvl>
    <w:lvl w:ilvl="3" w:tplc="08090001" w:tentative="1">
      <w:start w:val="1"/>
      <w:numFmt w:val="bullet"/>
      <w:lvlText w:val=""/>
      <w:lvlJc w:val="left"/>
      <w:pPr>
        <w:ind w:left="4089" w:hanging="360"/>
      </w:pPr>
      <w:rPr>
        <w:rFonts w:ascii="Symbol" w:hAnsi="Symbol" w:hint="default"/>
      </w:rPr>
    </w:lvl>
    <w:lvl w:ilvl="4" w:tplc="08090003" w:tentative="1">
      <w:start w:val="1"/>
      <w:numFmt w:val="bullet"/>
      <w:lvlText w:val="o"/>
      <w:lvlJc w:val="left"/>
      <w:pPr>
        <w:ind w:left="4809" w:hanging="360"/>
      </w:pPr>
      <w:rPr>
        <w:rFonts w:ascii="Courier New" w:hAnsi="Courier New" w:hint="default"/>
      </w:rPr>
    </w:lvl>
    <w:lvl w:ilvl="5" w:tplc="08090005" w:tentative="1">
      <w:start w:val="1"/>
      <w:numFmt w:val="bullet"/>
      <w:lvlText w:val=""/>
      <w:lvlJc w:val="left"/>
      <w:pPr>
        <w:ind w:left="5529" w:hanging="360"/>
      </w:pPr>
      <w:rPr>
        <w:rFonts w:ascii="Wingdings" w:hAnsi="Wingdings" w:hint="default"/>
      </w:rPr>
    </w:lvl>
    <w:lvl w:ilvl="6" w:tplc="08090001" w:tentative="1">
      <w:start w:val="1"/>
      <w:numFmt w:val="bullet"/>
      <w:lvlText w:val=""/>
      <w:lvlJc w:val="left"/>
      <w:pPr>
        <w:ind w:left="6249" w:hanging="360"/>
      </w:pPr>
      <w:rPr>
        <w:rFonts w:ascii="Symbol" w:hAnsi="Symbol" w:hint="default"/>
      </w:rPr>
    </w:lvl>
    <w:lvl w:ilvl="7" w:tplc="08090003" w:tentative="1">
      <w:start w:val="1"/>
      <w:numFmt w:val="bullet"/>
      <w:lvlText w:val="o"/>
      <w:lvlJc w:val="left"/>
      <w:pPr>
        <w:ind w:left="6969" w:hanging="360"/>
      </w:pPr>
      <w:rPr>
        <w:rFonts w:ascii="Courier New" w:hAnsi="Courier New" w:hint="default"/>
      </w:rPr>
    </w:lvl>
    <w:lvl w:ilvl="8" w:tplc="08090005" w:tentative="1">
      <w:start w:val="1"/>
      <w:numFmt w:val="bullet"/>
      <w:lvlText w:val=""/>
      <w:lvlJc w:val="left"/>
      <w:pPr>
        <w:ind w:left="7689" w:hanging="360"/>
      </w:pPr>
      <w:rPr>
        <w:rFonts w:ascii="Wingdings" w:hAnsi="Wingdings" w:hint="default"/>
      </w:rPr>
    </w:lvl>
  </w:abstractNum>
  <w:abstractNum w:abstractNumId="33">
    <w:nsid w:val="6CBD4E19"/>
    <w:multiLevelType w:val="hybridMultilevel"/>
    <w:tmpl w:val="A40AB85C"/>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16338D3"/>
    <w:multiLevelType w:val="hybridMultilevel"/>
    <w:tmpl w:val="AFACD582"/>
    <w:lvl w:ilvl="0" w:tplc="0F8A99C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7EDE5C6A"/>
    <w:multiLevelType w:val="hybridMultilevel"/>
    <w:tmpl w:val="24A0586A"/>
    <w:lvl w:ilvl="0" w:tplc="08090001">
      <w:start w:val="1"/>
      <w:numFmt w:val="bullet"/>
      <w:lvlText w:val=""/>
      <w:lvlJc w:val="left"/>
      <w:pPr>
        <w:ind w:left="360" w:hanging="360"/>
      </w:pPr>
      <w:rPr>
        <w:rFonts w:ascii="Symbol" w:hAnsi="Symbol" w:hint="default"/>
      </w:rPr>
    </w:lvl>
    <w:lvl w:ilvl="1" w:tplc="08090005">
      <w:start w:val="1"/>
      <w:numFmt w:val="bullet"/>
      <w:lvlText w:val=""/>
      <w:lvlJc w:val="left"/>
      <w:pPr>
        <w:ind w:left="1080" w:hanging="360"/>
      </w:pPr>
      <w:rPr>
        <w:rFonts w:ascii="Wingdings" w:hAnsi="Wingdings"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35"/>
  </w:num>
  <w:num w:numId="2">
    <w:abstractNumId w:val="8"/>
  </w:num>
  <w:num w:numId="3">
    <w:abstractNumId w:val="22"/>
  </w:num>
  <w:num w:numId="4">
    <w:abstractNumId w:val="3"/>
  </w:num>
  <w:num w:numId="5">
    <w:abstractNumId w:val="14"/>
  </w:num>
  <w:num w:numId="6">
    <w:abstractNumId w:val="23"/>
  </w:num>
  <w:num w:numId="7">
    <w:abstractNumId w:val="27"/>
  </w:num>
  <w:num w:numId="8">
    <w:abstractNumId w:val="5"/>
  </w:num>
  <w:num w:numId="9">
    <w:abstractNumId w:val="28"/>
  </w:num>
  <w:num w:numId="10">
    <w:abstractNumId w:val="30"/>
  </w:num>
  <w:num w:numId="11">
    <w:abstractNumId w:val="6"/>
  </w:num>
  <w:num w:numId="12">
    <w:abstractNumId w:val="12"/>
  </w:num>
  <w:num w:numId="13">
    <w:abstractNumId w:val="11"/>
  </w:num>
  <w:num w:numId="14">
    <w:abstractNumId w:val="2"/>
  </w:num>
  <w:num w:numId="15">
    <w:abstractNumId w:val="26"/>
  </w:num>
  <w:num w:numId="16">
    <w:abstractNumId w:val="36"/>
  </w:num>
  <w:num w:numId="17">
    <w:abstractNumId w:val="17"/>
  </w:num>
  <w:num w:numId="18">
    <w:abstractNumId w:val="0"/>
  </w:num>
  <w:num w:numId="19">
    <w:abstractNumId w:val="15"/>
  </w:num>
  <w:num w:numId="2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9"/>
  </w:num>
  <w:num w:numId="23">
    <w:abstractNumId w:val="25"/>
  </w:num>
  <w:num w:numId="24">
    <w:abstractNumId w:val="8"/>
  </w:num>
  <w:num w:numId="25">
    <w:abstractNumId w:val="8"/>
  </w:num>
  <w:num w:numId="26">
    <w:abstractNumId w:val="32"/>
  </w:num>
  <w:num w:numId="27">
    <w:abstractNumId w:val="4"/>
  </w:num>
  <w:num w:numId="28">
    <w:abstractNumId w:val="16"/>
  </w:num>
  <w:num w:numId="29">
    <w:abstractNumId w:val="18"/>
  </w:num>
  <w:num w:numId="30">
    <w:abstractNumId w:val="1"/>
  </w:num>
  <w:num w:numId="31">
    <w:abstractNumId w:val="9"/>
  </w:num>
  <w:num w:numId="32">
    <w:abstractNumId w:val="8"/>
  </w:num>
  <w:num w:numId="33">
    <w:abstractNumId w:val="8"/>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0"/>
  </w:num>
  <w:num w:numId="37">
    <w:abstractNumId w:val="21"/>
  </w:num>
  <w:num w:numId="38">
    <w:abstractNumId w:val="34"/>
  </w:num>
  <w:num w:numId="39">
    <w:abstractNumId w:val="20"/>
  </w:num>
  <w:num w:numId="40">
    <w:abstractNumId w:val="33"/>
  </w:num>
  <w:num w:numId="41">
    <w:abstractNumId w:val="8"/>
  </w:num>
  <w:num w:numId="42">
    <w:abstractNumId w:val="24"/>
  </w:num>
  <w:num w:numId="43">
    <w:abstractNumId w:val="3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1265"/>
  </w:hdrShapeDefaults>
  <w:footnotePr>
    <w:footnote w:id="-1"/>
    <w:footnote w:id="0"/>
  </w:footnotePr>
  <w:endnotePr>
    <w:endnote w:id="-1"/>
    <w:endnote w:id="0"/>
  </w:endnotePr>
  <w:compat/>
  <w:rsids>
    <w:rsidRoot w:val="00FB336D"/>
    <w:rsid w:val="00000F06"/>
    <w:rsid w:val="00001527"/>
    <w:rsid w:val="0000285F"/>
    <w:rsid w:val="00003BA2"/>
    <w:rsid w:val="00005332"/>
    <w:rsid w:val="00006A27"/>
    <w:rsid w:val="00010752"/>
    <w:rsid w:val="000109B5"/>
    <w:rsid w:val="00011464"/>
    <w:rsid w:val="00012CBD"/>
    <w:rsid w:val="00012E8E"/>
    <w:rsid w:val="00013353"/>
    <w:rsid w:val="00014394"/>
    <w:rsid w:val="0001480E"/>
    <w:rsid w:val="00016364"/>
    <w:rsid w:val="000229D5"/>
    <w:rsid w:val="00024055"/>
    <w:rsid w:val="0002593B"/>
    <w:rsid w:val="00025E0E"/>
    <w:rsid w:val="000300CC"/>
    <w:rsid w:val="00033D76"/>
    <w:rsid w:val="00035B44"/>
    <w:rsid w:val="000368A0"/>
    <w:rsid w:val="00037BDB"/>
    <w:rsid w:val="00046A38"/>
    <w:rsid w:val="00047281"/>
    <w:rsid w:val="00051606"/>
    <w:rsid w:val="00054AAB"/>
    <w:rsid w:val="00054BED"/>
    <w:rsid w:val="0005653D"/>
    <w:rsid w:val="00067A08"/>
    <w:rsid w:val="00070079"/>
    <w:rsid w:val="00070995"/>
    <w:rsid w:val="000720A5"/>
    <w:rsid w:val="00073B67"/>
    <w:rsid w:val="00075AC9"/>
    <w:rsid w:val="00083231"/>
    <w:rsid w:val="00087181"/>
    <w:rsid w:val="00092034"/>
    <w:rsid w:val="000926A0"/>
    <w:rsid w:val="000A5C42"/>
    <w:rsid w:val="000A6D15"/>
    <w:rsid w:val="000A764C"/>
    <w:rsid w:val="000A7CFA"/>
    <w:rsid w:val="000A7F27"/>
    <w:rsid w:val="000B1409"/>
    <w:rsid w:val="000B2165"/>
    <w:rsid w:val="000B4D45"/>
    <w:rsid w:val="000B4E84"/>
    <w:rsid w:val="000B51BA"/>
    <w:rsid w:val="000B5F03"/>
    <w:rsid w:val="000B784A"/>
    <w:rsid w:val="000C0989"/>
    <w:rsid w:val="000C206A"/>
    <w:rsid w:val="000C231D"/>
    <w:rsid w:val="000C337E"/>
    <w:rsid w:val="000C3724"/>
    <w:rsid w:val="000C3B78"/>
    <w:rsid w:val="000C43D7"/>
    <w:rsid w:val="000C65C2"/>
    <w:rsid w:val="000C6DA3"/>
    <w:rsid w:val="000C72A4"/>
    <w:rsid w:val="000D2BCE"/>
    <w:rsid w:val="000D4198"/>
    <w:rsid w:val="000D5271"/>
    <w:rsid w:val="000D6985"/>
    <w:rsid w:val="000D6E08"/>
    <w:rsid w:val="000D6E46"/>
    <w:rsid w:val="000D735F"/>
    <w:rsid w:val="000E0750"/>
    <w:rsid w:val="000E5968"/>
    <w:rsid w:val="000E6A81"/>
    <w:rsid w:val="000F0820"/>
    <w:rsid w:val="000F180F"/>
    <w:rsid w:val="000F196C"/>
    <w:rsid w:val="000F1E27"/>
    <w:rsid w:val="000F4B4A"/>
    <w:rsid w:val="00100767"/>
    <w:rsid w:val="00100C3E"/>
    <w:rsid w:val="00101FE6"/>
    <w:rsid w:val="00102448"/>
    <w:rsid w:val="00102BAE"/>
    <w:rsid w:val="00102CE2"/>
    <w:rsid w:val="0010443F"/>
    <w:rsid w:val="001059E0"/>
    <w:rsid w:val="001059E2"/>
    <w:rsid w:val="00106911"/>
    <w:rsid w:val="00113D96"/>
    <w:rsid w:val="00114D93"/>
    <w:rsid w:val="00115344"/>
    <w:rsid w:val="001175E5"/>
    <w:rsid w:val="00122905"/>
    <w:rsid w:val="0012468E"/>
    <w:rsid w:val="00124827"/>
    <w:rsid w:val="00127E89"/>
    <w:rsid w:val="00133DA9"/>
    <w:rsid w:val="001356B2"/>
    <w:rsid w:val="00136F19"/>
    <w:rsid w:val="00140C75"/>
    <w:rsid w:val="00141287"/>
    <w:rsid w:val="0014179B"/>
    <w:rsid w:val="0014195E"/>
    <w:rsid w:val="001422B2"/>
    <w:rsid w:val="00142AEE"/>
    <w:rsid w:val="00142CE8"/>
    <w:rsid w:val="001440B6"/>
    <w:rsid w:val="001563EB"/>
    <w:rsid w:val="00160F5D"/>
    <w:rsid w:val="0016170C"/>
    <w:rsid w:val="00161CEF"/>
    <w:rsid w:val="001621BC"/>
    <w:rsid w:val="0016240B"/>
    <w:rsid w:val="00162FF3"/>
    <w:rsid w:val="00165D71"/>
    <w:rsid w:val="00166314"/>
    <w:rsid w:val="00173B29"/>
    <w:rsid w:val="00173DB6"/>
    <w:rsid w:val="001759F9"/>
    <w:rsid w:val="00176DC7"/>
    <w:rsid w:val="001801C9"/>
    <w:rsid w:val="00180A53"/>
    <w:rsid w:val="00181E6B"/>
    <w:rsid w:val="001830FA"/>
    <w:rsid w:val="001840A2"/>
    <w:rsid w:val="00186C0F"/>
    <w:rsid w:val="001917FA"/>
    <w:rsid w:val="00191A55"/>
    <w:rsid w:val="00193533"/>
    <w:rsid w:val="00193F7B"/>
    <w:rsid w:val="00194198"/>
    <w:rsid w:val="001978E6"/>
    <w:rsid w:val="001A262F"/>
    <w:rsid w:val="001A43C7"/>
    <w:rsid w:val="001A624A"/>
    <w:rsid w:val="001A6F98"/>
    <w:rsid w:val="001B141F"/>
    <w:rsid w:val="001B5D6D"/>
    <w:rsid w:val="001B6494"/>
    <w:rsid w:val="001B6DA2"/>
    <w:rsid w:val="001B79D4"/>
    <w:rsid w:val="001B7F7D"/>
    <w:rsid w:val="001C064C"/>
    <w:rsid w:val="001C187E"/>
    <w:rsid w:val="001C278B"/>
    <w:rsid w:val="001C4B6F"/>
    <w:rsid w:val="001C6E82"/>
    <w:rsid w:val="001C793A"/>
    <w:rsid w:val="001D0B89"/>
    <w:rsid w:val="001D0D92"/>
    <w:rsid w:val="001D2C34"/>
    <w:rsid w:val="001D3E4F"/>
    <w:rsid w:val="001D567C"/>
    <w:rsid w:val="001E096A"/>
    <w:rsid w:val="001E0D3E"/>
    <w:rsid w:val="001E0D99"/>
    <w:rsid w:val="001E0FE0"/>
    <w:rsid w:val="001E1FC3"/>
    <w:rsid w:val="001E26E5"/>
    <w:rsid w:val="001E7BB0"/>
    <w:rsid w:val="001F01A3"/>
    <w:rsid w:val="001F1861"/>
    <w:rsid w:val="001F7195"/>
    <w:rsid w:val="001F76BF"/>
    <w:rsid w:val="001F7E6A"/>
    <w:rsid w:val="0020277F"/>
    <w:rsid w:val="002028B1"/>
    <w:rsid w:val="002029F5"/>
    <w:rsid w:val="00203312"/>
    <w:rsid w:val="0020693E"/>
    <w:rsid w:val="00206BF6"/>
    <w:rsid w:val="002073F5"/>
    <w:rsid w:val="00211F87"/>
    <w:rsid w:val="002125A9"/>
    <w:rsid w:val="00217BB1"/>
    <w:rsid w:val="002209CB"/>
    <w:rsid w:val="00220A4F"/>
    <w:rsid w:val="002211AB"/>
    <w:rsid w:val="002213C8"/>
    <w:rsid w:val="00221F62"/>
    <w:rsid w:val="00222D0A"/>
    <w:rsid w:val="002235AA"/>
    <w:rsid w:val="00223BF4"/>
    <w:rsid w:val="0023366A"/>
    <w:rsid w:val="00236544"/>
    <w:rsid w:val="0024247D"/>
    <w:rsid w:val="00243387"/>
    <w:rsid w:val="00247375"/>
    <w:rsid w:val="00247ECE"/>
    <w:rsid w:val="00250E70"/>
    <w:rsid w:val="00251A22"/>
    <w:rsid w:val="00252768"/>
    <w:rsid w:val="002558AF"/>
    <w:rsid w:val="00256BC9"/>
    <w:rsid w:val="00256FE7"/>
    <w:rsid w:val="00261F97"/>
    <w:rsid w:val="00262EC5"/>
    <w:rsid w:val="002631D8"/>
    <w:rsid w:val="002736D8"/>
    <w:rsid w:val="00275CAF"/>
    <w:rsid w:val="00282E36"/>
    <w:rsid w:val="00284D39"/>
    <w:rsid w:val="00284DB7"/>
    <w:rsid w:val="002850A1"/>
    <w:rsid w:val="0028554C"/>
    <w:rsid w:val="0028582B"/>
    <w:rsid w:val="00286D8D"/>
    <w:rsid w:val="00287271"/>
    <w:rsid w:val="00290643"/>
    <w:rsid w:val="002942E3"/>
    <w:rsid w:val="0029561E"/>
    <w:rsid w:val="00297424"/>
    <w:rsid w:val="002A3807"/>
    <w:rsid w:val="002A4762"/>
    <w:rsid w:val="002A5ABF"/>
    <w:rsid w:val="002A72B4"/>
    <w:rsid w:val="002B2699"/>
    <w:rsid w:val="002B5417"/>
    <w:rsid w:val="002B5AD3"/>
    <w:rsid w:val="002B6E78"/>
    <w:rsid w:val="002C43BF"/>
    <w:rsid w:val="002C47DA"/>
    <w:rsid w:val="002C5573"/>
    <w:rsid w:val="002C5703"/>
    <w:rsid w:val="002C74ED"/>
    <w:rsid w:val="002C7EC9"/>
    <w:rsid w:val="002D180A"/>
    <w:rsid w:val="002D186D"/>
    <w:rsid w:val="002D1884"/>
    <w:rsid w:val="002D18F7"/>
    <w:rsid w:val="002D1A20"/>
    <w:rsid w:val="002D2C21"/>
    <w:rsid w:val="002D3C8D"/>
    <w:rsid w:val="002D55BF"/>
    <w:rsid w:val="002D5A29"/>
    <w:rsid w:val="002E2942"/>
    <w:rsid w:val="002E2D8B"/>
    <w:rsid w:val="002E5196"/>
    <w:rsid w:val="002E5291"/>
    <w:rsid w:val="002E54AC"/>
    <w:rsid w:val="002F1B13"/>
    <w:rsid w:val="002F1C93"/>
    <w:rsid w:val="002F1DE7"/>
    <w:rsid w:val="002F39A0"/>
    <w:rsid w:val="002F5C06"/>
    <w:rsid w:val="00304EF6"/>
    <w:rsid w:val="003119B4"/>
    <w:rsid w:val="00311BE5"/>
    <w:rsid w:val="00311F07"/>
    <w:rsid w:val="003122D8"/>
    <w:rsid w:val="003123D2"/>
    <w:rsid w:val="0031289B"/>
    <w:rsid w:val="00312BA3"/>
    <w:rsid w:val="00312C9B"/>
    <w:rsid w:val="00313E68"/>
    <w:rsid w:val="00314986"/>
    <w:rsid w:val="00316170"/>
    <w:rsid w:val="00316B2E"/>
    <w:rsid w:val="003202CA"/>
    <w:rsid w:val="00320A94"/>
    <w:rsid w:val="00321D1C"/>
    <w:rsid w:val="00321D2E"/>
    <w:rsid w:val="003223BA"/>
    <w:rsid w:val="00322498"/>
    <w:rsid w:val="003257C2"/>
    <w:rsid w:val="003259C5"/>
    <w:rsid w:val="003263F0"/>
    <w:rsid w:val="003302EE"/>
    <w:rsid w:val="00333BD2"/>
    <w:rsid w:val="003346AE"/>
    <w:rsid w:val="003412B0"/>
    <w:rsid w:val="00352EC7"/>
    <w:rsid w:val="00355B17"/>
    <w:rsid w:val="00355DEB"/>
    <w:rsid w:val="003618A8"/>
    <w:rsid w:val="00361B3A"/>
    <w:rsid w:val="00364CC3"/>
    <w:rsid w:val="00376A41"/>
    <w:rsid w:val="0038105D"/>
    <w:rsid w:val="0038117A"/>
    <w:rsid w:val="003823EC"/>
    <w:rsid w:val="00384AB9"/>
    <w:rsid w:val="00384F4A"/>
    <w:rsid w:val="0038575D"/>
    <w:rsid w:val="00390485"/>
    <w:rsid w:val="00391148"/>
    <w:rsid w:val="003A14B3"/>
    <w:rsid w:val="003A24F3"/>
    <w:rsid w:val="003A28F2"/>
    <w:rsid w:val="003A3735"/>
    <w:rsid w:val="003A3966"/>
    <w:rsid w:val="003A49FF"/>
    <w:rsid w:val="003B7391"/>
    <w:rsid w:val="003C0ECC"/>
    <w:rsid w:val="003C29CD"/>
    <w:rsid w:val="003C3541"/>
    <w:rsid w:val="003D1F38"/>
    <w:rsid w:val="003D5356"/>
    <w:rsid w:val="003D6DE6"/>
    <w:rsid w:val="003D6F41"/>
    <w:rsid w:val="003E0BD7"/>
    <w:rsid w:val="003E2D8F"/>
    <w:rsid w:val="003E4918"/>
    <w:rsid w:val="003E5AE1"/>
    <w:rsid w:val="003E6961"/>
    <w:rsid w:val="003F1A1C"/>
    <w:rsid w:val="003F7320"/>
    <w:rsid w:val="004005A7"/>
    <w:rsid w:val="00406D55"/>
    <w:rsid w:val="004112BC"/>
    <w:rsid w:val="00414300"/>
    <w:rsid w:val="004165F0"/>
    <w:rsid w:val="00417BB2"/>
    <w:rsid w:val="00423D67"/>
    <w:rsid w:val="004248AB"/>
    <w:rsid w:val="0042710E"/>
    <w:rsid w:val="00430363"/>
    <w:rsid w:val="004313F7"/>
    <w:rsid w:val="0043250E"/>
    <w:rsid w:val="004347CC"/>
    <w:rsid w:val="0044078F"/>
    <w:rsid w:val="00440871"/>
    <w:rsid w:val="00440BA9"/>
    <w:rsid w:val="00441365"/>
    <w:rsid w:val="004428D5"/>
    <w:rsid w:val="00442CAB"/>
    <w:rsid w:val="00443BE6"/>
    <w:rsid w:val="00446A42"/>
    <w:rsid w:val="00446C14"/>
    <w:rsid w:val="00450D1B"/>
    <w:rsid w:val="00453205"/>
    <w:rsid w:val="0045371B"/>
    <w:rsid w:val="00453CCA"/>
    <w:rsid w:val="004541A5"/>
    <w:rsid w:val="004554FB"/>
    <w:rsid w:val="00456F17"/>
    <w:rsid w:val="00462FEF"/>
    <w:rsid w:val="0047576C"/>
    <w:rsid w:val="004771FF"/>
    <w:rsid w:val="00477B32"/>
    <w:rsid w:val="00477DD3"/>
    <w:rsid w:val="00482572"/>
    <w:rsid w:val="00482E04"/>
    <w:rsid w:val="004831D6"/>
    <w:rsid w:val="00485AD4"/>
    <w:rsid w:val="00486412"/>
    <w:rsid w:val="00490DAE"/>
    <w:rsid w:val="004912CB"/>
    <w:rsid w:val="004919C1"/>
    <w:rsid w:val="0049260B"/>
    <w:rsid w:val="00496099"/>
    <w:rsid w:val="00496344"/>
    <w:rsid w:val="004975E7"/>
    <w:rsid w:val="004A05F2"/>
    <w:rsid w:val="004A0A90"/>
    <w:rsid w:val="004A0DD1"/>
    <w:rsid w:val="004A1425"/>
    <w:rsid w:val="004A1CF4"/>
    <w:rsid w:val="004A212D"/>
    <w:rsid w:val="004A33C6"/>
    <w:rsid w:val="004A4680"/>
    <w:rsid w:val="004A5911"/>
    <w:rsid w:val="004A5B61"/>
    <w:rsid w:val="004A7AC5"/>
    <w:rsid w:val="004B2728"/>
    <w:rsid w:val="004B4AAE"/>
    <w:rsid w:val="004B79DD"/>
    <w:rsid w:val="004C1AAE"/>
    <w:rsid w:val="004C285F"/>
    <w:rsid w:val="004C3D6D"/>
    <w:rsid w:val="004C4208"/>
    <w:rsid w:val="004C4232"/>
    <w:rsid w:val="004C510B"/>
    <w:rsid w:val="004C562B"/>
    <w:rsid w:val="004D0204"/>
    <w:rsid w:val="004D0212"/>
    <w:rsid w:val="004D0C39"/>
    <w:rsid w:val="004E0CB0"/>
    <w:rsid w:val="004E2460"/>
    <w:rsid w:val="004E4102"/>
    <w:rsid w:val="004E4B04"/>
    <w:rsid w:val="004E5EEC"/>
    <w:rsid w:val="004E7128"/>
    <w:rsid w:val="004E7546"/>
    <w:rsid w:val="004F2771"/>
    <w:rsid w:val="004F45B3"/>
    <w:rsid w:val="004F45FF"/>
    <w:rsid w:val="004F5BCD"/>
    <w:rsid w:val="004F5F1D"/>
    <w:rsid w:val="004F7F35"/>
    <w:rsid w:val="0050210B"/>
    <w:rsid w:val="005028A9"/>
    <w:rsid w:val="00506024"/>
    <w:rsid w:val="00506FA4"/>
    <w:rsid w:val="00507173"/>
    <w:rsid w:val="005076DB"/>
    <w:rsid w:val="00510A67"/>
    <w:rsid w:val="00512E38"/>
    <w:rsid w:val="005150DD"/>
    <w:rsid w:val="00515DFD"/>
    <w:rsid w:val="0051684B"/>
    <w:rsid w:val="0051795E"/>
    <w:rsid w:val="00517A0C"/>
    <w:rsid w:val="00521B8C"/>
    <w:rsid w:val="00521D1F"/>
    <w:rsid w:val="00522792"/>
    <w:rsid w:val="005245FF"/>
    <w:rsid w:val="00524847"/>
    <w:rsid w:val="005272A0"/>
    <w:rsid w:val="00530252"/>
    <w:rsid w:val="00532E45"/>
    <w:rsid w:val="00534840"/>
    <w:rsid w:val="00534D03"/>
    <w:rsid w:val="00535349"/>
    <w:rsid w:val="005371AE"/>
    <w:rsid w:val="00542798"/>
    <w:rsid w:val="00547862"/>
    <w:rsid w:val="00547F05"/>
    <w:rsid w:val="00550D35"/>
    <w:rsid w:val="00551D25"/>
    <w:rsid w:val="00552F32"/>
    <w:rsid w:val="00554275"/>
    <w:rsid w:val="00554337"/>
    <w:rsid w:val="00554F70"/>
    <w:rsid w:val="005561F0"/>
    <w:rsid w:val="00556F32"/>
    <w:rsid w:val="005700CB"/>
    <w:rsid w:val="005729FB"/>
    <w:rsid w:val="00572BF8"/>
    <w:rsid w:val="005745F0"/>
    <w:rsid w:val="00580EF9"/>
    <w:rsid w:val="00585BEB"/>
    <w:rsid w:val="005867EB"/>
    <w:rsid w:val="0058799A"/>
    <w:rsid w:val="00591EB5"/>
    <w:rsid w:val="00594963"/>
    <w:rsid w:val="005976D8"/>
    <w:rsid w:val="005A1881"/>
    <w:rsid w:val="005A1C6C"/>
    <w:rsid w:val="005A269F"/>
    <w:rsid w:val="005A6432"/>
    <w:rsid w:val="005B0C20"/>
    <w:rsid w:val="005B3FCB"/>
    <w:rsid w:val="005B5C0F"/>
    <w:rsid w:val="005C0C3E"/>
    <w:rsid w:val="005C2169"/>
    <w:rsid w:val="005C6818"/>
    <w:rsid w:val="005D1096"/>
    <w:rsid w:val="005D2BAF"/>
    <w:rsid w:val="005D5C84"/>
    <w:rsid w:val="005E3925"/>
    <w:rsid w:val="005E42EA"/>
    <w:rsid w:val="005E4414"/>
    <w:rsid w:val="005E56C5"/>
    <w:rsid w:val="005E6127"/>
    <w:rsid w:val="005E6809"/>
    <w:rsid w:val="005E7CD0"/>
    <w:rsid w:val="005F00BE"/>
    <w:rsid w:val="005F0E5A"/>
    <w:rsid w:val="005F1ED7"/>
    <w:rsid w:val="005F3D9A"/>
    <w:rsid w:val="005F58EE"/>
    <w:rsid w:val="005F5A90"/>
    <w:rsid w:val="005F5F56"/>
    <w:rsid w:val="005F7DF5"/>
    <w:rsid w:val="006001D6"/>
    <w:rsid w:val="00601791"/>
    <w:rsid w:val="006045AC"/>
    <w:rsid w:val="00604A1A"/>
    <w:rsid w:val="006071D7"/>
    <w:rsid w:val="0060793F"/>
    <w:rsid w:val="00610257"/>
    <w:rsid w:val="0061091F"/>
    <w:rsid w:val="0061225E"/>
    <w:rsid w:val="00616F1E"/>
    <w:rsid w:val="00617607"/>
    <w:rsid w:val="00620081"/>
    <w:rsid w:val="006200DD"/>
    <w:rsid w:val="00625968"/>
    <w:rsid w:val="00626A5E"/>
    <w:rsid w:val="006303E7"/>
    <w:rsid w:val="0063051C"/>
    <w:rsid w:val="006322EF"/>
    <w:rsid w:val="0063419B"/>
    <w:rsid w:val="006414CE"/>
    <w:rsid w:val="006420FD"/>
    <w:rsid w:val="00643D70"/>
    <w:rsid w:val="0064739B"/>
    <w:rsid w:val="006534E3"/>
    <w:rsid w:val="00655247"/>
    <w:rsid w:val="00655282"/>
    <w:rsid w:val="006562C4"/>
    <w:rsid w:val="00656C33"/>
    <w:rsid w:val="00656CBF"/>
    <w:rsid w:val="00657DC2"/>
    <w:rsid w:val="00661ACA"/>
    <w:rsid w:val="00662789"/>
    <w:rsid w:val="00662A8D"/>
    <w:rsid w:val="00663EEA"/>
    <w:rsid w:val="006650F2"/>
    <w:rsid w:val="0066566D"/>
    <w:rsid w:val="006723B4"/>
    <w:rsid w:val="006739EA"/>
    <w:rsid w:val="00677AE5"/>
    <w:rsid w:val="00680EDA"/>
    <w:rsid w:val="0068108E"/>
    <w:rsid w:val="00682309"/>
    <w:rsid w:val="0068381A"/>
    <w:rsid w:val="00685E91"/>
    <w:rsid w:val="006871F7"/>
    <w:rsid w:val="00690D4F"/>
    <w:rsid w:val="0069574A"/>
    <w:rsid w:val="00696721"/>
    <w:rsid w:val="006973E0"/>
    <w:rsid w:val="006A05DE"/>
    <w:rsid w:val="006A10E6"/>
    <w:rsid w:val="006A1A6C"/>
    <w:rsid w:val="006A23F2"/>
    <w:rsid w:val="006A3042"/>
    <w:rsid w:val="006A6CD7"/>
    <w:rsid w:val="006A7DF7"/>
    <w:rsid w:val="006B06BC"/>
    <w:rsid w:val="006B0882"/>
    <w:rsid w:val="006B18EC"/>
    <w:rsid w:val="006B79C3"/>
    <w:rsid w:val="006C0D89"/>
    <w:rsid w:val="006C40F4"/>
    <w:rsid w:val="006C701E"/>
    <w:rsid w:val="006C7D52"/>
    <w:rsid w:val="006D4913"/>
    <w:rsid w:val="006D6614"/>
    <w:rsid w:val="006D698C"/>
    <w:rsid w:val="006E239E"/>
    <w:rsid w:val="006F1FC6"/>
    <w:rsid w:val="006F2259"/>
    <w:rsid w:val="006F40F4"/>
    <w:rsid w:val="006F4AC5"/>
    <w:rsid w:val="006F4B45"/>
    <w:rsid w:val="006F4C90"/>
    <w:rsid w:val="006F5447"/>
    <w:rsid w:val="006F65EB"/>
    <w:rsid w:val="00700075"/>
    <w:rsid w:val="0070103E"/>
    <w:rsid w:val="00703D0C"/>
    <w:rsid w:val="007056FB"/>
    <w:rsid w:val="00706AFD"/>
    <w:rsid w:val="00710E6B"/>
    <w:rsid w:val="007128F8"/>
    <w:rsid w:val="00714163"/>
    <w:rsid w:val="00714700"/>
    <w:rsid w:val="00716346"/>
    <w:rsid w:val="00717EB9"/>
    <w:rsid w:val="0072021F"/>
    <w:rsid w:val="00722796"/>
    <w:rsid w:val="00722A4B"/>
    <w:rsid w:val="007232F7"/>
    <w:rsid w:val="00724558"/>
    <w:rsid w:val="00724C66"/>
    <w:rsid w:val="0072563C"/>
    <w:rsid w:val="0072590E"/>
    <w:rsid w:val="00730087"/>
    <w:rsid w:val="00731252"/>
    <w:rsid w:val="00734935"/>
    <w:rsid w:val="00734C85"/>
    <w:rsid w:val="0073542A"/>
    <w:rsid w:val="007404A2"/>
    <w:rsid w:val="0074268E"/>
    <w:rsid w:val="00743ED3"/>
    <w:rsid w:val="00744740"/>
    <w:rsid w:val="007467AB"/>
    <w:rsid w:val="00750D34"/>
    <w:rsid w:val="00750D8D"/>
    <w:rsid w:val="007555E9"/>
    <w:rsid w:val="00755B9C"/>
    <w:rsid w:val="00756B39"/>
    <w:rsid w:val="00760859"/>
    <w:rsid w:val="00760D42"/>
    <w:rsid w:val="007615ED"/>
    <w:rsid w:val="00763CFC"/>
    <w:rsid w:val="00763E29"/>
    <w:rsid w:val="00764664"/>
    <w:rsid w:val="00766877"/>
    <w:rsid w:val="00766A9D"/>
    <w:rsid w:val="00767C86"/>
    <w:rsid w:val="007704B9"/>
    <w:rsid w:val="00771A48"/>
    <w:rsid w:val="00772470"/>
    <w:rsid w:val="0077692A"/>
    <w:rsid w:val="00776947"/>
    <w:rsid w:val="0078038D"/>
    <w:rsid w:val="007852E6"/>
    <w:rsid w:val="00785C94"/>
    <w:rsid w:val="00786675"/>
    <w:rsid w:val="00786845"/>
    <w:rsid w:val="00791790"/>
    <w:rsid w:val="00792A74"/>
    <w:rsid w:val="007955C9"/>
    <w:rsid w:val="00797141"/>
    <w:rsid w:val="00797464"/>
    <w:rsid w:val="00797474"/>
    <w:rsid w:val="007A12A2"/>
    <w:rsid w:val="007A1A60"/>
    <w:rsid w:val="007A2DB8"/>
    <w:rsid w:val="007A32DD"/>
    <w:rsid w:val="007A3B40"/>
    <w:rsid w:val="007B0712"/>
    <w:rsid w:val="007B3D48"/>
    <w:rsid w:val="007B512F"/>
    <w:rsid w:val="007B7ED1"/>
    <w:rsid w:val="007C1823"/>
    <w:rsid w:val="007C3F52"/>
    <w:rsid w:val="007C7083"/>
    <w:rsid w:val="007C7614"/>
    <w:rsid w:val="007D1B34"/>
    <w:rsid w:val="007D4370"/>
    <w:rsid w:val="007D5416"/>
    <w:rsid w:val="007E2D95"/>
    <w:rsid w:val="007E312E"/>
    <w:rsid w:val="007E6289"/>
    <w:rsid w:val="007E732B"/>
    <w:rsid w:val="007F0254"/>
    <w:rsid w:val="00800D0F"/>
    <w:rsid w:val="00803546"/>
    <w:rsid w:val="0080367E"/>
    <w:rsid w:val="0080498C"/>
    <w:rsid w:val="00805EA3"/>
    <w:rsid w:val="00805FD7"/>
    <w:rsid w:val="00807C7C"/>
    <w:rsid w:val="00812B9B"/>
    <w:rsid w:val="00812C63"/>
    <w:rsid w:val="00813362"/>
    <w:rsid w:val="008134F9"/>
    <w:rsid w:val="00813A21"/>
    <w:rsid w:val="00816F10"/>
    <w:rsid w:val="00817C11"/>
    <w:rsid w:val="0082292D"/>
    <w:rsid w:val="00822F9F"/>
    <w:rsid w:val="00823607"/>
    <w:rsid w:val="008252E4"/>
    <w:rsid w:val="008263D2"/>
    <w:rsid w:val="008263FF"/>
    <w:rsid w:val="008312AB"/>
    <w:rsid w:val="00834EDE"/>
    <w:rsid w:val="00837DCA"/>
    <w:rsid w:val="00841CAC"/>
    <w:rsid w:val="00842FC1"/>
    <w:rsid w:val="0084308A"/>
    <w:rsid w:val="008446C1"/>
    <w:rsid w:val="00845594"/>
    <w:rsid w:val="00846137"/>
    <w:rsid w:val="00850CD1"/>
    <w:rsid w:val="008517A6"/>
    <w:rsid w:val="00851DCB"/>
    <w:rsid w:val="00852218"/>
    <w:rsid w:val="00852F8A"/>
    <w:rsid w:val="0085469F"/>
    <w:rsid w:val="008560AD"/>
    <w:rsid w:val="00857208"/>
    <w:rsid w:val="008579DF"/>
    <w:rsid w:val="008708F7"/>
    <w:rsid w:val="00871609"/>
    <w:rsid w:val="00873E85"/>
    <w:rsid w:val="0087493F"/>
    <w:rsid w:val="008761FA"/>
    <w:rsid w:val="008763F3"/>
    <w:rsid w:val="00877409"/>
    <w:rsid w:val="00883696"/>
    <w:rsid w:val="008857CA"/>
    <w:rsid w:val="00886586"/>
    <w:rsid w:val="008877E0"/>
    <w:rsid w:val="00887D12"/>
    <w:rsid w:val="0089068D"/>
    <w:rsid w:val="0089410E"/>
    <w:rsid w:val="0089483D"/>
    <w:rsid w:val="00894B7D"/>
    <w:rsid w:val="00894D6D"/>
    <w:rsid w:val="008952D2"/>
    <w:rsid w:val="0089603E"/>
    <w:rsid w:val="008969D4"/>
    <w:rsid w:val="008A0F1C"/>
    <w:rsid w:val="008A7D5D"/>
    <w:rsid w:val="008B2A09"/>
    <w:rsid w:val="008B3A75"/>
    <w:rsid w:val="008B679A"/>
    <w:rsid w:val="008B6CF6"/>
    <w:rsid w:val="008C0DBD"/>
    <w:rsid w:val="008C0E2D"/>
    <w:rsid w:val="008C3AB6"/>
    <w:rsid w:val="008C3F01"/>
    <w:rsid w:val="008C4A25"/>
    <w:rsid w:val="008D2184"/>
    <w:rsid w:val="008D3D18"/>
    <w:rsid w:val="008D57EF"/>
    <w:rsid w:val="008E3309"/>
    <w:rsid w:val="008E3F0B"/>
    <w:rsid w:val="008E550B"/>
    <w:rsid w:val="008E6B17"/>
    <w:rsid w:val="008E7161"/>
    <w:rsid w:val="008F2CB2"/>
    <w:rsid w:val="008F40E3"/>
    <w:rsid w:val="008F5970"/>
    <w:rsid w:val="008F5DB5"/>
    <w:rsid w:val="009005D3"/>
    <w:rsid w:val="00902EB0"/>
    <w:rsid w:val="009066B9"/>
    <w:rsid w:val="00906A8B"/>
    <w:rsid w:val="00910F4D"/>
    <w:rsid w:val="00911DC0"/>
    <w:rsid w:val="0091221A"/>
    <w:rsid w:val="009133BE"/>
    <w:rsid w:val="00915274"/>
    <w:rsid w:val="009168D9"/>
    <w:rsid w:val="0091742E"/>
    <w:rsid w:val="009205BE"/>
    <w:rsid w:val="009216AF"/>
    <w:rsid w:val="00924219"/>
    <w:rsid w:val="0092453C"/>
    <w:rsid w:val="00924DE9"/>
    <w:rsid w:val="009260AD"/>
    <w:rsid w:val="009323F3"/>
    <w:rsid w:val="00932C0F"/>
    <w:rsid w:val="00933670"/>
    <w:rsid w:val="00934090"/>
    <w:rsid w:val="00934534"/>
    <w:rsid w:val="0093556E"/>
    <w:rsid w:val="00935A8E"/>
    <w:rsid w:val="00936422"/>
    <w:rsid w:val="00936FD2"/>
    <w:rsid w:val="009404AF"/>
    <w:rsid w:val="009462F3"/>
    <w:rsid w:val="00947EBE"/>
    <w:rsid w:val="009500EF"/>
    <w:rsid w:val="00955E57"/>
    <w:rsid w:val="009610A4"/>
    <w:rsid w:val="00961B97"/>
    <w:rsid w:val="00963FF5"/>
    <w:rsid w:val="00964803"/>
    <w:rsid w:val="00965AC0"/>
    <w:rsid w:val="009670CA"/>
    <w:rsid w:val="00971C2C"/>
    <w:rsid w:val="00974A25"/>
    <w:rsid w:val="00980CC9"/>
    <w:rsid w:val="00982A0F"/>
    <w:rsid w:val="00982EB2"/>
    <w:rsid w:val="00983422"/>
    <w:rsid w:val="0098346C"/>
    <w:rsid w:val="00984657"/>
    <w:rsid w:val="00985794"/>
    <w:rsid w:val="00987192"/>
    <w:rsid w:val="00990C92"/>
    <w:rsid w:val="00993320"/>
    <w:rsid w:val="00993D86"/>
    <w:rsid w:val="00995517"/>
    <w:rsid w:val="009A176F"/>
    <w:rsid w:val="009A5612"/>
    <w:rsid w:val="009A5ED2"/>
    <w:rsid w:val="009A7F98"/>
    <w:rsid w:val="009B0E1D"/>
    <w:rsid w:val="009B15B2"/>
    <w:rsid w:val="009B2731"/>
    <w:rsid w:val="009B4247"/>
    <w:rsid w:val="009B6927"/>
    <w:rsid w:val="009C0D9E"/>
    <w:rsid w:val="009C1F6C"/>
    <w:rsid w:val="009C6121"/>
    <w:rsid w:val="009C69B5"/>
    <w:rsid w:val="009D0BF4"/>
    <w:rsid w:val="009D0D21"/>
    <w:rsid w:val="009D120E"/>
    <w:rsid w:val="009D1230"/>
    <w:rsid w:val="009D1A4F"/>
    <w:rsid w:val="009D1C7D"/>
    <w:rsid w:val="009D35F5"/>
    <w:rsid w:val="009D479F"/>
    <w:rsid w:val="009D4990"/>
    <w:rsid w:val="009D5481"/>
    <w:rsid w:val="009D5890"/>
    <w:rsid w:val="009D6EFB"/>
    <w:rsid w:val="009D7944"/>
    <w:rsid w:val="009D7A49"/>
    <w:rsid w:val="009E03DD"/>
    <w:rsid w:val="009E091A"/>
    <w:rsid w:val="009E198B"/>
    <w:rsid w:val="009E1D1A"/>
    <w:rsid w:val="009E4C88"/>
    <w:rsid w:val="009E5030"/>
    <w:rsid w:val="009F08B9"/>
    <w:rsid w:val="009F0DBE"/>
    <w:rsid w:val="009F2209"/>
    <w:rsid w:val="009F26A8"/>
    <w:rsid w:val="009F2C31"/>
    <w:rsid w:val="009F36FC"/>
    <w:rsid w:val="009F4C0F"/>
    <w:rsid w:val="00A00E94"/>
    <w:rsid w:val="00A0420A"/>
    <w:rsid w:val="00A04444"/>
    <w:rsid w:val="00A073F1"/>
    <w:rsid w:val="00A07FF6"/>
    <w:rsid w:val="00A119BD"/>
    <w:rsid w:val="00A15FE8"/>
    <w:rsid w:val="00A161A0"/>
    <w:rsid w:val="00A16984"/>
    <w:rsid w:val="00A22D12"/>
    <w:rsid w:val="00A2403A"/>
    <w:rsid w:val="00A24FBD"/>
    <w:rsid w:val="00A250F2"/>
    <w:rsid w:val="00A352CB"/>
    <w:rsid w:val="00A36637"/>
    <w:rsid w:val="00A379C7"/>
    <w:rsid w:val="00A37AC1"/>
    <w:rsid w:val="00A37D2A"/>
    <w:rsid w:val="00A40388"/>
    <w:rsid w:val="00A44E99"/>
    <w:rsid w:val="00A4528C"/>
    <w:rsid w:val="00A52958"/>
    <w:rsid w:val="00A5386A"/>
    <w:rsid w:val="00A5586C"/>
    <w:rsid w:val="00A56341"/>
    <w:rsid w:val="00A57255"/>
    <w:rsid w:val="00A607EE"/>
    <w:rsid w:val="00A634A9"/>
    <w:rsid w:val="00A70DA0"/>
    <w:rsid w:val="00A710D4"/>
    <w:rsid w:val="00A71DDE"/>
    <w:rsid w:val="00A7272E"/>
    <w:rsid w:val="00A7499C"/>
    <w:rsid w:val="00A802C7"/>
    <w:rsid w:val="00A803D2"/>
    <w:rsid w:val="00A83DD3"/>
    <w:rsid w:val="00A84A6B"/>
    <w:rsid w:val="00A84AE5"/>
    <w:rsid w:val="00A90D71"/>
    <w:rsid w:val="00A90E6C"/>
    <w:rsid w:val="00A97D09"/>
    <w:rsid w:val="00AA2287"/>
    <w:rsid w:val="00AA3732"/>
    <w:rsid w:val="00AA3E72"/>
    <w:rsid w:val="00AA7FCE"/>
    <w:rsid w:val="00AB0E9A"/>
    <w:rsid w:val="00AB2208"/>
    <w:rsid w:val="00AB292B"/>
    <w:rsid w:val="00AB3436"/>
    <w:rsid w:val="00AB47DC"/>
    <w:rsid w:val="00AB4AEA"/>
    <w:rsid w:val="00AB50A5"/>
    <w:rsid w:val="00AB5A03"/>
    <w:rsid w:val="00AB7884"/>
    <w:rsid w:val="00AC2788"/>
    <w:rsid w:val="00AC2D29"/>
    <w:rsid w:val="00AC3841"/>
    <w:rsid w:val="00AD3D05"/>
    <w:rsid w:val="00AE0806"/>
    <w:rsid w:val="00AE15E7"/>
    <w:rsid w:val="00AE3271"/>
    <w:rsid w:val="00AE3F33"/>
    <w:rsid w:val="00AE51ED"/>
    <w:rsid w:val="00AE7AFF"/>
    <w:rsid w:val="00AF20D9"/>
    <w:rsid w:val="00AF2471"/>
    <w:rsid w:val="00AF2F98"/>
    <w:rsid w:val="00AF798D"/>
    <w:rsid w:val="00B00B21"/>
    <w:rsid w:val="00B01691"/>
    <w:rsid w:val="00B03474"/>
    <w:rsid w:val="00B034F9"/>
    <w:rsid w:val="00B04725"/>
    <w:rsid w:val="00B10541"/>
    <w:rsid w:val="00B1197E"/>
    <w:rsid w:val="00B12AE6"/>
    <w:rsid w:val="00B16290"/>
    <w:rsid w:val="00B20DE0"/>
    <w:rsid w:val="00B22D16"/>
    <w:rsid w:val="00B233F5"/>
    <w:rsid w:val="00B25965"/>
    <w:rsid w:val="00B25CD5"/>
    <w:rsid w:val="00B34A02"/>
    <w:rsid w:val="00B408A5"/>
    <w:rsid w:val="00B418CA"/>
    <w:rsid w:val="00B41A54"/>
    <w:rsid w:val="00B42F75"/>
    <w:rsid w:val="00B47B01"/>
    <w:rsid w:val="00B51459"/>
    <w:rsid w:val="00B53950"/>
    <w:rsid w:val="00B54163"/>
    <w:rsid w:val="00B56D57"/>
    <w:rsid w:val="00B6200E"/>
    <w:rsid w:val="00B624A7"/>
    <w:rsid w:val="00B65878"/>
    <w:rsid w:val="00B66F7F"/>
    <w:rsid w:val="00B70B31"/>
    <w:rsid w:val="00B72600"/>
    <w:rsid w:val="00B756E0"/>
    <w:rsid w:val="00B75DC8"/>
    <w:rsid w:val="00B7670F"/>
    <w:rsid w:val="00B8382B"/>
    <w:rsid w:val="00B869EC"/>
    <w:rsid w:val="00B921E3"/>
    <w:rsid w:val="00B92E93"/>
    <w:rsid w:val="00B94822"/>
    <w:rsid w:val="00B96912"/>
    <w:rsid w:val="00BA3DCD"/>
    <w:rsid w:val="00BA5CCE"/>
    <w:rsid w:val="00BA6C81"/>
    <w:rsid w:val="00BA741D"/>
    <w:rsid w:val="00BB0068"/>
    <w:rsid w:val="00BB2304"/>
    <w:rsid w:val="00BB2673"/>
    <w:rsid w:val="00BB42FE"/>
    <w:rsid w:val="00BB537B"/>
    <w:rsid w:val="00BC4A09"/>
    <w:rsid w:val="00BC54AA"/>
    <w:rsid w:val="00BC7EE6"/>
    <w:rsid w:val="00BD04A0"/>
    <w:rsid w:val="00BD0A00"/>
    <w:rsid w:val="00BD3043"/>
    <w:rsid w:val="00BE1CA3"/>
    <w:rsid w:val="00C03C85"/>
    <w:rsid w:val="00C0412E"/>
    <w:rsid w:val="00C11035"/>
    <w:rsid w:val="00C12DAD"/>
    <w:rsid w:val="00C13308"/>
    <w:rsid w:val="00C14912"/>
    <w:rsid w:val="00C14FB9"/>
    <w:rsid w:val="00C16235"/>
    <w:rsid w:val="00C23037"/>
    <w:rsid w:val="00C24465"/>
    <w:rsid w:val="00C24B4E"/>
    <w:rsid w:val="00C30D65"/>
    <w:rsid w:val="00C3297A"/>
    <w:rsid w:val="00C33C5D"/>
    <w:rsid w:val="00C365B4"/>
    <w:rsid w:val="00C41567"/>
    <w:rsid w:val="00C42356"/>
    <w:rsid w:val="00C42DFF"/>
    <w:rsid w:val="00C4348F"/>
    <w:rsid w:val="00C439EC"/>
    <w:rsid w:val="00C4471A"/>
    <w:rsid w:val="00C459C4"/>
    <w:rsid w:val="00C50B9A"/>
    <w:rsid w:val="00C51EAA"/>
    <w:rsid w:val="00C56C63"/>
    <w:rsid w:val="00C57432"/>
    <w:rsid w:val="00C60F2E"/>
    <w:rsid w:val="00C61501"/>
    <w:rsid w:val="00C62217"/>
    <w:rsid w:val="00C65253"/>
    <w:rsid w:val="00C75361"/>
    <w:rsid w:val="00C75D3A"/>
    <w:rsid w:val="00C765A0"/>
    <w:rsid w:val="00C76BB0"/>
    <w:rsid w:val="00C776B0"/>
    <w:rsid w:val="00C81F28"/>
    <w:rsid w:val="00C83100"/>
    <w:rsid w:val="00C83814"/>
    <w:rsid w:val="00C86F1F"/>
    <w:rsid w:val="00C946B0"/>
    <w:rsid w:val="00C94BA8"/>
    <w:rsid w:val="00C96C8D"/>
    <w:rsid w:val="00CA1FB9"/>
    <w:rsid w:val="00CA2D17"/>
    <w:rsid w:val="00CA4FA2"/>
    <w:rsid w:val="00CA5162"/>
    <w:rsid w:val="00CA7D32"/>
    <w:rsid w:val="00CB31A8"/>
    <w:rsid w:val="00CB3DA7"/>
    <w:rsid w:val="00CB4697"/>
    <w:rsid w:val="00CB6B8B"/>
    <w:rsid w:val="00CB7FC9"/>
    <w:rsid w:val="00CC1E35"/>
    <w:rsid w:val="00CC291F"/>
    <w:rsid w:val="00CC5A5E"/>
    <w:rsid w:val="00CC5DBD"/>
    <w:rsid w:val="00CC6748"/>
    <w:rsid w:val="00CC6DAB"/>
    <w:rsid w:val="00CC6EB2"/>
    <w:rsid w:val="00CD2E57"/>
    <w:rsid w:val="00CD5BEB"/>
    <w:rsid w:val="00CD6A30"/>
    <w:rsid w:val="00CD6E73"/>
    <w:rsid w:val="00CD74CE"/>
    <w:rsid w:val="00CE0D4C"/>
    <w:rsid w:val="00CE307A"/>
    <w:rsid w:val="00CE5609"/>
    <w:rsid w:val="00CE76F5"/>
    <w:rsid w:val="00CF5344"/>
    <w:rsid w:val="00CF5E97"/>
    <w:rsid w:val="00CF6E6C"/>
    <w:rsid w:val="00D00F9A"/>
    <w:rsid w:val="00D011C2"/>
    <w:rsid w:val="00D01EF0"/>
    <w:rsid w:val="00D03EA6"/>
    <w:rsid w:val="00D04D23"/>
    <w:rsid w:val="00D0553F"/>
    <w:rsid w:val="00D064A6"/>
    <w:rsid w:val="00D06B69"/>
    <w:rsid w:val="00D11BC0"/>
    <w:rsid w:val="00D120A0"/>
    <w:rsid w:val="00D1708B"/>
    <w:rsid w:val="00D2019F"/>
    <w:rsid w:val="00D21090"/>
    <w:rsid w:val="00D22440"/>
    <w:rsid w:val="00D2444C"/>
    <w:rsid w:val="00D24827"/>
    <w:rsid w:val="00D26ECF"/>
    <w:rsid w:val="00D27764"/>
    <w:rsid w:val="00D30620"/>
    <w:rsid w:val="00D313A8"/>
    <w:rsid w:val="00D31B46"/>
    <w:rsid w:val="00D409CE"/>
    <w:rsid w:val="00D41058"/>
    <w:rsid w:val="00D43A26"/>
    <w:rsid w:val="00D44DC4"/>
    <w:rsid w:val="00D465EB"/>
    <w:rsid w:val="00D4696C"/>
    <w:rsid w:val="00D46EFF"/>
    <w:rsid w:val="00D50836"/>
    <w:rsid w:val="00D50B94"/>
    <w:rsid w:val="00D52CCE"/>
    <w:rsid w:val="00D53AD0"/>
    <w:rsid w:val="00D553C9"/>
    <w:rsid w:val="00D60310"/>
    <w:rsid w:val="00D61A9B"/>
    <w:rsid w:val="00D62118"/>
    <w:rsid w:val="00D641D1"/>
    <w:rsid w:val="00D64AD0"/>
    <w:rsid w:val="00D671F8"/>
    <w:rsid w:val="00D67461"/>
    <w:rsid w:val="00D7165F"/>
    <w:rsid w:val="00D728E8"/>
    <w:rsid w:val="00D8095E"/>
    <w:rsid w:val="00D81479"/>
    <w:rsid w:val="00D85502"/>
    <w:rsid w:val="00D910A6"/>
    <w:rsid w:val="00D93E8B"/>
    <w:rsid w:val="00D9787F"/>
    <w:rsid w:val="00D97C0D"/>
    <w:rsid w:val="00D97E07"/>
    <w:rsid w:val="00D97FBD"/>
    <w:rsid w:val="00DA1A64"/>
    <w:rsid w:val="00DA32B3"/>
    <w:rsid w:val="00DA5F30"/>
    <w:rsid w:val="00DB2007"/>
    <w:rsid w:val="00DB263B"/>
    <w:rsid w:val="00DB276B"/>
    <w:rsid w:val="00DB3EBF"/>
    <w:rsid w:val="00DB4FB5"/>
    <w:rsid w:val="00DC03D1"/>
    <w:rsid w:val="00DC0BA9"/>
    <w:rsid w:val="00DC109A"/>
    <w:rsid w:val="00DC2113"/>
    <w:rsid w:val="00DC2C40"/>
    <w:rsid w:val="00DC4AC2"/>
    <w:rsid w:val="00DD060C"/>
    <w:rsid w:val="00DD16F1"/>
    <w:rsid w:val="00DD34A9"/>
    <w:rsid w:val="00DD3B69"/>
    <w:rsid w:val="00DD526F"/>
    <w:rsid w:val="00DD56FF"/>
    <w:rsid w:val="00DD6D4C"/>
    <w:rsid w:val="00DD6DB1"/>
    <w:rsid w:val="00DD7C6D"/>
    <w:rsid w:val="00DE143F"/>
    <w:rsid w:val="00DE1861"/>
    <w:rsid w:val="00DE4A14"/>
    <w:rsid w:val="00DE64F3"/>
    <w:rsid w:val="00DE7C4B"/>
    <w:rsid w:val="00DF033B"/>
    <w:rsid w:val="00DF13CB"/>
    <w:rsid w:val="00DF5C99"/>
    <w:rsid w:val="00DF7129"/>
    <w:rsid w:val="00E00B4B"/>
    <w:rsid w:val="00E00EE5"/>
    <w:rsid w:val="00E01A5F"/>
    <w:rsid w:val="00E01FB2"/>
    <w:rsid w:val="00E03F74"/>
    <w:rsid w:val="00E04F74"/>
    <w:rsid w:val="00E05B73"/>
    <w:rsid w:val="00E06475"/>
    <w:rsid w:val="00E07738"/>
    <w:rsid w:val="00E1205E"/>
    <w:rsid w:val="00E14F66"/>
    <w:rsid w:val="00E15B03"/>
    <w:rsid w:val="00E174E0"/>
    <w:rsid w:val="00E17EAE"/>
    <w:rsid w:val="00E200CC"/>
    <w:rsid w:val="00E20FA0"/>
    <w:rsid w:val="00E219FC"/>
    <w:rsid w:val="00E2227F"/>
    <w:rsid w:val="00E25836"/>
    <w:rsid w:val="00E27B83"/>
    <w:rsid w:val="00E4039A"/>
    <w:rsid w:val="00E40DD8"/>
    <w:rsid w:val="00E415D1"/>
    <w:rsid w:val="00E42FF8"/>
    <w:rsid w:val="00E431BD"/>
    <w:rsid w:val="00E501A2"/>
    <w:rsid w:val="00E50A9A"/>
    <w:rsid w:val="00E6176C"/>
    <w:rsid w:val="00E61EA7"/>
    <w:rsid w:val="00E624EA"/>
    <w:rsid w:val="00E63869"/>
    <w:rsid w:val="00E64291"/>
    <w:rsid w:val="00E64FCD"/>
    <w:rsid w:val="00E66BC2"/>
    <w:rsid w:val="00E70509"/>
    <w:rsid w:val="00E7058C"/>
    <w:rsid w:val="00E72F37"/>
    <w:rsid w:val="00E74500"/>
    <w:rsid w:val="00E800AB"/>
    <w:rsid w:val="00E802CC"/>
    <w:rsid w:val="00E8078C"/>
    <w:rsid w:val="00E8309D"/>
    <w:rsid w:val="00E83421"/>
    <w:rsid w:val="00E8743C"/>
    <w:rsid w:val="00E87CF4"/>
    <w:rsid w:val="00E92CC8"/>
    <w:rsid w:val="00E92E34"/>
    <w:rsid w:val="00E95E65"/>
    <w:rsid w:val="00E963C7"/>
    <w:rsid w:val="00E972E0"/>
    <w:rsid w:val="00EA2D61"/>
    <w:rsid w:val="00EA77B6"/>
    <w:rsid w:val="00EB0386"/>
    <w:rsid w:val="00EB1D3A"/>
    <w:rsid w:val="00EB4E2C"/>
    <w:rsid w:val="00EB6009"/>
    <w:rsid w:val="00EC07AA"/>
    <w:rsid w:val="00EC2235"/>
    <w:rsid w:val="00ED06FD"/>
    <w:rsid w:val="00ED076C"/>
    <w:rsid w:val="00ED0C12"/>
    <w:rsid w:val="00ED1258"/>
    <w:rsid w:val="00ED1F51"/>
    <w:rsid w:val="00ED26BB"/>
    <w:rsid w:val="00ED2B23"/>
    <w:rsid w:val="00ED52BE"/>
    <w:rsid w:val="00ED5602"/>
    <w:rsid w:val="00EE0804"/>
    <w:rsid w:val="00EE0D85"/>
    <w:rsid w:val="00EE3566"/>
    <w:rsid w:val="00EE4EF8"/>
    <w:rsid w:val="00EE7910"/>
    <w:rsid w:val="00EE7FA1"/>
    <w:rsid w:val="00EF09BD"/>
    <w:rsid w:val="00EF512C"/>
    <w:rsid w:val="00EF58D1"/>
    <w:rsid w:val="00F0014B"/>
    <w:rsid w:val="00F0024B"/>
    <w:rsid w:val="00F028E8"/>
    <w:rsid w:val="00F040D8"/>
    <w:rsid w:val="00F07168"/>
    <w:rsid w:val="00F109DB"/>
    <w:rsid w:val="00F10B28"/>
    <w:rsid w:val="00F125F6"/>
    <w:rsid w:val="00F127AB"/>
    <w:rsid w:val="00F127FD"/>
    <w:rsid w:val="00F13BC7"/>
    <w:rsid w:val="00F14123"/>
    <w:rsid w:val="00F15907"/>
    <w:rsid w:val="00F20780"/>
    <w:rsid w:val="00F20A38"/>
    <w:rsid w:val="00F24FDE"/>
    <w:rsid w:val="00F253AB"/>
    <w:rsid w:val="00F25904"/>
    <w:rsid w:val="00F276C4"/>
    <w:rsid w:val="00F30DA8"/>
    <w:rsid w:val="00F33602"/>
    <w:rsid w:val="00F36A52"/>
    <w:rsid w:val="00F37D1A"/>
    <w:rsid w:val="00F41732"/>
    <w:rsid w:val="00F421F4"/>
    <w:rsid w:val="00F4299E"/>
    <w:rsid w:val="00F44245"/>
    <w:rsid w:val="00F45778"/>
    <w:rsid w:val="00F47904"/>
    <w:rsid w:val="00F47B8C"/>
    <w:rsid w:val="00F53312"/>
    <w:rsid w:val="00F569DC"/>
    <w:rsid w:val="00F57B07"/>
    <w:rsid w:val="00F60077"/>
    <w:rsid w:val="00F616F8"/>
    <w:rsid w:val="00F630F4"/>
    <w:rsid w:val="00F63233"/>
    <w:rsid w:val="00F63527"/>
    <w:rsid w:val="00F64BC8"/>
    <w:rsid w:val="00F64E0F"/>
    <w:rsid w:val="00F65046"/>
    <w:rsid w:val="00F66999"/>
    <w:rsid w:val="00F66AAE"/>
    <w:rsid w:val="00F672B6"/>
    <w:rsid w:val="00F7073C"/>
    <w:rsid w:val="00F71C7F"/>
    <w:rsid w:val="00F72056"/>
    <w:rsid w:val="00F72278"/>
    <w:rsid w:val="00F72D3E"/>
    <w:rsid w:val="00F73AB2"/>
    <w:rsid w:val="00F73B3D"/>
    <w:rsid w:val="00F77BF0"/>
    <w:rsid w:val="00F80211"/>
    <w:rsid w:val="00F836A2"/>
    <w:rsid w:val="00F83723"/>
    <w:rsid w:val="00F91768"/>
    <w:rsid w:val="00F9446B"/>
    <w:rsid w:val="00F95F50"/>
    <w:rsid w:val="00FA041A"/>
    <w:rsid w:val="00FA04F9"/>
    <w:rsid w:val="00FA0A3B"/>
    <w:rsid w:val="00FA1513"/>
    <w:rsid w:val="00FA19EF"/>
    <w:rsid w:val="00FA1C96"/>
    <w:rsid w:val="00FA28DD"/>
    <w:rsid w:val="00FA2B08"/>
    <w:rsid w:val="00FA7EA4"/>
    <w:rsid w:val="00FB0584"/>
    <w:rsid w:val="00FB1E6F"/>
    <w:rsid w:val="00FB27EA"/>
    <w:rsid w:val="00FB2FCB"/>
    <w:rsid w:val="00FB336D"/>
    <w:rsid w:val="00FB7212"/>
    <w:rsid w:val="00FC0A9F"/>
    <w:rsid w:val="00FC0F2C"/>
    <w:rsid w:val="00FC277C"/>
    <w:rsid w:val="00FC316E"/>
    <w:rsid w:val="00FC3201"/>
    <w:rsid w:val="00FC336A"/>
    <w:rsid w:val="00FC34B6"/>
    <w:rsid w:val="00FC4DB8"/>
    <w:rsid w:val="00FC55C1"/>
    <w:rsid w:val="00FC78D8"/>
    <w:rsid w:val="00FC7DE0"/>
    <w:rsid w:val="00FD0E26"/>
    <w:rsid w:val="00FD2FF7"/>
    <w:rsid w:val="00FD3E87"/>
    <w:rsid w:val="00FD5FCB"/>
    <w:rsid w:val="00FD658D"/>
    <w:rsid w:val="00FE0DC2"/>
    <w:rsid w:val="00FE1207"/>
    <w:rsid w:val="00FE12A2"/>
    <w:rsid w:val="00FE1470"/>
    <w:rsid w:val="00FE2C7D"/>
    <w:rsid w:val="00FE40A0"/>
    <w:rsid w:val="00FE639D"/>
    <w:rsid w:val="00FE72D9"/>
    <w:rsid w:val="00FF0E1D"/>
    <w:rsid w:val="00FF2448"/>
    <w:rsid w:val="00FF386F"/>
    <w:rsid w:val="00FF4B9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lock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2B0"/>
    <w:rPr>
      <w:sz w:val="24"/>
      <w:szCs w:val="24"/>
      <w:lang w:val="en-GB"/>
    </w:rPr>
  </w:style>
  <w:style w:type="paragraph" w:styleId="Heading1">
    <w:name w:val="heading 1"/>
    <w:basedOn w:val="Normal"/>
    <w:next w:val="Normal"/>
    <w:link w:val="Heading1Char"/>
    <w:uiPriority w:val="99"/>
    <w:qFormat/>
    <w:rsid w:val="003412B0"/>
    <w:pPr>
      <w:keepNext/>
      <w:outlineLvl w:val="0"/>
    </w:pPr>
    <w:rPr>
      <w:b/>
      <w:bCs/>
      <w:sz w:val="32"/>
    </w:rPr>
  </w:style>
  <w:style w:type="paragraph" w:styleId="Heading2">
    <w:name w:val="heading 2"/>
    <w:basedOn w:val="Normal"/>
    <w:next w:val="Normal"/>
    <w:link w:val="Heading2Char"/>
    <w:uiPriority w:val="99"/>
    <w:qFormat/>
    <w:rsid w:val="003412B0"/>
    <w:pPr>
      <w:keepNext/>
      <w:outlineLvl w:val="1"/>
    </w:pPr>
    <w:rPr>
      <w:b/>
      <w:bCs/>
    </w:rPr>
  </w:style>
  <w:style w:type="paragraph" w:styleId="Heading3">
    <w:name w:val="heading 3"/>
    <w:basedOn w:val="Normal"/>
    <w:next w:val="Normal"/>
    <w:link w:val="Heading3Char"/>
    <w:uiPriority w:val="99"/>
    <w:qFormat/>
    <w:rsid w:val="003412B0"/>
    <w:pPr>
      <w:keepNext/>
      <w:numPr>
        <w:numId w:val="1"/>
      </w:numPr>
      <w:tabs>
        <w:tab w:val="num" w:pos="720"/>
      </w:tabs>
      <w:ind w:hanging="1080"/>
      <w:outlineLvl w:val="2"/>
    </w:pPr>
    <w:rPr>
      <w:b/>
      <w:bCs/>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3412B0"/>
    <w:pPr>
      <w:keepNext/>
      <w:numPr>
        <w:numId w:val="2"/>
      </w:numPr>
      <w:outlineLvl w:val="3"/>
    </w:pPr>
    <w:rPr>
      <w:b/>
      <w:bCs/>
    </w:rPr>
  </w:style>
  <w:style w:type="paragraph" w:styleId="Heading5">
    <w:name w:val="heading 5"/>
    <w:basedOn w:val="Normal"/>
    <w:next w:val="Normal"/>
    <w:link w:val="Heading5Char"/>
    <w:uiPriority w:val="99"/>
    <w:qFormat/>
    <w:rsid w:val="003412B0"/>
    <w:pPr>
      <w:keepNext/>
      <w:ind w:left="720"/>
      <w:jc w:val="both"/>
      <w:outlineLvl w:val="4"/>
    </w:pPr>
    <w:rPr>
      <w:b/>
      <w:iCs/>
    </w:rPr>
  </w:style>
  <w:style w:type="paragraph" w:styleId="Heading6">
    <w:name w:val="heading 6"/>
    <w:basedOn w:val="Normal"/>
    <w:next w:val="Normal"/>
    <w:link w:val="Heading6Char"/>
    <w:uiPriority w:val="99"/>
    <w:qFormat/>
    <w:rsid w:val="003412B0"/>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3412B0"/>
    <w:pPr>
      <w:keepNext/>
      <w:ind w:left="360"/>
      <w:jc w:val="both"/>
      <w:outlineLvl w:val="6"/>
    </w:pPr>
    <w:rPr>
      <w:b/>
      <w:iCs/>
      <w:u w:val="single"/>
    </w:rPr>
  </w:style>
  <w:style w:type="paragraph" w:styleId="Heading8">
    <w:name w:val="heading 8"/>
    <w:basedOn w:val="Normal"/>
    <w:next w:val="Normal"/>
    <w:link w:val="Heading8Char"/>
    <w:uiPriority w:val="99"/>
    <w:qFormat/>
    <w:rsid w:val="003412B0"/>
    <w:pPr>
      <w:keepNext/>
      <w:jc w:val="both"/>
      <w:outlineLvl w:val="7"/>
    </w:pPr>
    <w:rPr>
      <w:b/>
      <w:bCs/>
    </w:rPr>
  </w:style>
  <w:style w:type="paragraph" w:styleId="Heading9">
    <w:name w:val="heading 9"/>
    <w:basedOn w:val="Normal"/>
    <w:next w:val="Normal"/>
    <w:link w:val="Heading9Char"/>
    <w:uiPriority w:val="99"/>
    <w:qFormat/>
    <w:rsid w:val="003412B0"/>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3E87"/>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locked/>
    <w:rsid w:val="000D2BCE"/>
    <w:rPr>
      <w:rFonts w:cs="Times New Roman"/>
      <w:b/>
      <w:bCs/>
      <w:sz w:val="24"/>
      <w:szCs w:val="24"/>
      <w:lang w:eastAsia="en-US"/>
    </w:rPr>
  </w:style>
  <w:style w:type="character" w:customStyle="1" w:styleId="Heading3Char">
    <w:name w:val="Heading 3 Char"/>
    <w:basedOn w:val="DefaultParagraphFont"/>
    <w:link w:val="Heading3"/>
    <w:uiPriority w:val="99"/>
    <w:semiHidden/>
    <w:locked/>
    <w:rsid w:val="00FD3E87"/>
    <w:rPr>
      <w:rFonts w:ascii="Cambria" w:hAnsi="Cambria" w:cs="Times New Roman"/>
      <w:b/>
      <w:bCs/>
      <w:sz w:val="26"/>
      <w:szCs w:val="26"/>
      <w:lang w:val="en-GB"/>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locked/>
    <w:rsid w:val="00B418CA"/>
    <w:rPr>
      <w:b/>
      <w:bCs/>
      <w:sz w:val="24"/>
      <w:szCs w:val="24"/>
      <w:lang w:val="en-GB"/>
    </w:rPr>
  </w:style>
  <w:style w:type="character" w:customStyle="1" w:styleId="Heading5Char">
    <w:name w:val="Heading 5 Char"/>
    <w:basedOn w:val="DefaultParagraphFont"/>
    <w:link w:val="Heading5"/>
    <w:uiPriority w:val="99"/>
    <w:semiHidden/>
    <w:locked/>
    <w:rsid w:val="00FD3E87"/>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locked/>
    <w:rsid w:val="00364CC3"/>
    <w:rPr>
      <w:rFonts w:cs="Times New Roman"/>
      <w:b/>
      <w:bCs/>
      <w:iCs/>
      <w:sz w:val="28"/>
      <w:szCs w:val="28"/>
      <w:lang w:eastAsia="en-US"/>
    </w:rPr>
  </w:style>
  <w:style w:type="character" w:customStyle="1" w:styleId="Heading7Char">
    <w:name w:val="Heading 7 Char"/>
    <w:basedOn w:val="DefaultParagraphFont"/>
    <w:link w:val="Heading7"/>
    <w:uiPriority w:val="99"/>
    <w:semiHidden/>
    <w:locked/>
    <w:rsid w:val="00FD3E87"/>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sid w:val="00FD3E87"/>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sid w:val="00FD3E87"/>
    <w:rPr>
      <w:rFonts w:ascii="Cambria" w:hAnsi="Cambria" w:cs="Times New Roman"/>
      <w:lang w:val="en-GB"/>
    </w:rPr>
  </w:style>
  <w:style w:type="paragraph" w:styleId="Footer">
    <w:name w:val="footer"/>
    <w:basedOn w:val="Normal"/>
    <w:link w:val="FooterChar"/>
    <w:uiPriority w:val="99"/>
    <w:rsid w:val="003412B0"/>
    <w:pPr>
      <w:tabs>
        <w:tab w:val="center" w:pos="4153"/>
        <w:tab w:val="right" w:pos="8306"/>
      </w:tabs>
    </w:pPr>
  </w:style>
  <w:style w:type="character" w:customStyle="1" w:styleId="FooterChar">
    <w:name w:val="Footer Char"/>
    <w:basedOn w:val="DefaultParagraphFont"/>
    <w:link w:val="Footer"/>
    <w:uiPriority w:val="99"/>
    <w:locked/>
    <w:rsid w:val="00FD3E87"/>
    <w:rPr>
      <w:rFonts w:cs="Times New Roman"/>
      <w:sz w:val="24"/>
      <w:szCs w:val="24"/>
      <w:lang w:val="en-GB"/>
    </w:rPr>
  </w:style>
  <w:style w:type="character" w:styleId="PageNumber">
    <w:name w:val="page number"/>
    <w:basedOn w:val="DefaultParagraphFont"/>
    <w:uiPriority w:val="99"/>
    <w:rsid w:val="003412B0"/>
    <w:rPr>
      <w:rFonts w:cs="Times New Roman"/>
    </w:rPr>
  </w:style>
  <w:style w:type="paragraph" w:styleId="BodyTextIndent">
    <w:name w:val="Body Text Indent"/>
    <w:basedOn w:val="Normal"/>
    <w:link w:val="BodyTextIndentChar"/>
    <w:uiPriority w:val="99"/>
    <w:rsid w:val="003412B0"/>
    <w:pPr>
      <w:ind w:left="360"/>
    </w:pPr>
    <w:rPr>
      <w:iCs/>
    </w:rPr>
  </w:style>
  <w:style w:type="character" w:customStyle="1" w:styleId="BodyTextIndentChar">
    <w:name w:val="Body Text Indent Char"/>
    <w:basedOn w:val="DefaultParagraphFont"/>
    <w:link w:val="BodyTextIndent"/>
    <w:uiPriority w:val="99"/>
    <w:locked/>
    <w:rsid w:val="00364CC3"/>
    <w:rPr>
      <w:rFonts w:cs="Times New Roman"/>
      <w:iCs/>
      <w:sz w:val="24"/>
      <w:szCs w:val="24"/>
      <w:lang w:eastAsia="en-US"/>
    </w:rPr>
  </w:style>
  <w:style w:type="paragraph" w:styleId="BodyTextIndent2">
    <w:name w:val="Body Text Indent 2"/>
    <w:basedOn w:val="Normal"/>
    <w:link w:val="BodyTextIndent2Char"/>
    <w:uiPriority w:val="99"/>
    <w:rsid w:val="003412B0"/>
    <w:pPr>
      <w:ind w:left="720"/>
      <w:jc w:val="both"/>
    </w:pPr>
    <w:rPr>
      <w:bCs/>
      <w:iCs/>
    </w:rPr>
  </w:style>
  <w:style w:type="character" w:customStyle="1" w:styleId="BodyTextIndent2Char">
    <w:name w:val="Body Text Indent 2 Char"/>
    <w:basedOn w:val="DefaultParagraphFont"/>
    <w:link w:val="BodyTextIndent2"/>
    <w:uiPriority w:val="99"/>
    <w:locked/>
    <w:rsid w:val="00594963"/>
    <w:rPr>
      <w:rFonts w:cs="Times New Roman"/>
      <w:bCs/>
      <w:iCs/>
      <w:sz w:val="24"/>
      <w:szCs w:val="24"/>
      <w:lang w:eastAsia="en-US"/>
    </w:rPr>
  </w:style>
  <w:style w:type="paragraph" w:styleId="BodyTextIndent3">
    <w:name w:val="Body Text Indent 3"/>
    <w:basedOn w:val="Normal"/>
    <w:link w:val="BodyTextIndent3Char"/>
    <w:uiPriority w:val="99"/>
    <w:rsid w:val="003412B0"/>
    <w:pPr>
      <w:ind w:left="360"/>
      <w:jc w:val="both"/>
    </w:pPr>
    <w:rPr>
      <w:iCs/>
    </w:rPr>
  </w:style>
  <w:style w:type="character" w:customStyle="1" w:styleId="BodyTextIndent3Char">
    <w:name w:val="Body Text Indent 3 Char"/>
    <w:basedOn w:val="DefaultParagraphFont"/>
    <w:link w:val="BodyTextIndent3"/>
    <w:uiPriority w:val="99"/>
    <w:locked/>
    <w:rsid w:val="00364CC3"/>
    <w:rPr>
      <w:rFonts w:cs="Times New Roman"/>
      <w:iCs/>
      <w:sz w:val="24"/>
      <w:szCs w:val="24"/>
      <w:lang w:eastAsia="en-US"/>
    </w:rPr>
  </w:style>
  <w:style w:type="paragraph" w:styleId="BodyText">
    <w:name w:val="Body Text"/>
    <w:basedOn w:val="Normal"/>
    <w:link w:val="BodyTextChar"/>
    <w:uiPriority w:val="99"/>
    <w:rsid w:val="003412B0"/>
    <w:pPr>
      <w:jc w:val="both"/>
    </w:pPr>
    <w:rPr>
      <w:sz w:val="22"/>
    </w:rPr>
  </w:style>
  <w:style w:type="character" w:customStyle="1" w:styleId="BodyTextChar">
    <w:name w:val="Body Text Char"/>
    <w:basedOn w:val="DefaultParagraphFont"/>
    <w:link w:val="BodyText"/>
    <w:uiPriority w:val="99"/>
    <w:semiHidden/>
    <w:locked/>
    <w:rsid w:val="00FD3E87"/>
    <w:rPr>
      <w:rFonts w:cs="Times New Roman"/>
      <w:sz w:val="24"/>
      <w:szCs w:val="24"/>
      <w:lang w:val="en-GB"/>
    </w:rPr>
  </w:style>
  <w:style w:type="paragraph" w:styleId="BodyText2">
    <w:name w:val="Body Text 2"/>
    <w:basedOn w:val="Normal"/>
    <w:link w:val="BodyText2Char"/>
    <w:uiPriority w:val="99"/>
    <w:rsid w:val="003412B0"/>
    <w:pPr>
      <w:jc w:val="center"/>
    </w:pPr>
    <w:rPr>
      <w:rFonts w:ascii="Arial" w:hAnsi="Arial" w:cs="Arial"/>
      <w:b/>
      <w:bCs/>
    </w:rPr>
  </w:style>
  <w:style w:type="character" w:customStyle="1" w:styleId="BodyText2Char">
    <w:name w:val="Body Text 2 Char"/>
    <w:basedOn w:val="DefaultParagraphFont"/>
    <w:link w:val="BodyText2"/>
    <w:uiPriority w:val="99"/>
    <w:semiHidden/>
    <w:locked/>
    <w:rsid w:val="00FD3E87"/>
    <w:rPr>
      <w:rFonts w:cs="Times New Roman"/>
      <w:sz w:val="24"/>
      <w:szCs w:val="24"/>
      <w:lang w:val="en-GB"/>
    </w:rPr>
  </w:style>
  <w:style w:type="paragraph" w:customStyle="1" w:styleId="Pa3">
    <w:name w:val="Pa3"/>
    <w:basedOn w:val="Normal"/>
    <w:next w:val="Normal"/>
    <w:uiPriority w:val="99"/>
    <w:rsid w:val="003412B0"/>
    <w:pPr>
      <w:autoSpaceDE w:val="0"/>
      <w:autoSpaceDN w:val="0"/>
      <w:adjustRightInd w:val="0"/>
      <w:spacing w:after="220" w:line="201" w:lineRule="atLeast"/>
    </w:pPr>
    <w:rPr>
      <w:rFonts w:ascii="Univers" w:hAnsi="Univers"/>
      <w:lang w:val="en-US"/>
    </w:rPr>
  </w:style>
  <w:style w:type="paragraph" w:styleId="BalloonText">
    <w:name w:val="Balloon Text"/>
    <w:basedOn w:val="Normal"/>
    <w:link w:val="BalloonTextChar"/>
    <w:uiPriority w:val="99"/>
    <w:semiHidden/>
    <w:rsid w:val="003412B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3E87"/>
    <w:rPr>
      <w:rFonts w:cs="Times New Roman"/>
      <w:sz w:val="2"/>
      <w:lang w:val="en-GB"/>
    </w:rPr>
  </w:style>
  <w:style w:type="paragraph" w:styleId="ListParagraph">
    <w:name w:val="List Paragraph"/>
    <w:basedOn w:val="Normal"/>
    <w:uiPriority w:val="34"/>
    <w:qFormat/>
    <w:rsid w:val="00A52958"/>
    <w:pPr>
      <w:spacing w:after="200" w:line="276" w:lineRule="auto"/>
      <w:ind w:left="720"/>
      <w:contextualSpacing/>
    </w:pPr>
    <w:rPr>
      <w:rFonts w:ascii="Calibri" w:hAnsi="Calibri"/>
      <w:sz w:val="22"/>
      <w:szCs w:val="22"/>
    </w:rPr>
  </w:style>
  <w:style w:type="table" w:styleId="TableGrid">
    <w:name w:val="Table Grid"/>
    <w:basedOn w:val="TableNormal"/>
    <w:uiPriority w:val="99"/>
    <w:rsid w:val="00A52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6E239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FD3E87"/>
    <w:rPr>
      <w:rFonts w:cs="Times New Roman"/>
      <w:sz w:val="2"/>
      <w:lang w:val="en-GB"/>
    </w:rPr>
  </w:style>
  <w:style w:type="paragraph" w:customStyle="1" w:styleId="Default">
    <w:name w:val="Default"/>
    <w:rsid w:val="005729FB"/>
    <w:pPr>
      <w:autoSpaceDE w:val="0"/>
      <w:autoSpaceDN w:val="0"/>
      <w:adjustRightInd w:val="0"/>
    </w:pPr>
    <w:rPr>
      <w:rFonts w:ascii="Arial" w:hAnsi="Arial" w:cs="Arial"/>
      <w:color w:val="000000"/>
      <w:sz w:val="24"/>
      <w:szCs w:val="24"/>
      <w:lang w:val="en-GB" w:eastAsia="en-GB"/>
    </w:rPr>
  </w:style>
  <w:style w:type="paragraph" w:styleId="NormalWeb">
    <w:name w:val="Normal (Web)"/>
    <w:basedOn w:val="Normal"/>
    <w:uiPriority w:val="99"/>
    <w:rsid w:val="00CB6B8B"/>
    <w:pPr>
      <w:spacing w:before="145" w:after="73"/>
    </w:pPr>
    <w:rPr>
      <w:sz w:val="18"/>
      <w:szCs w:val="18"/>
      <w:lang w:eastAsia="en-GB"/>
    </w:rPr>
  </w:style>
  <w:style w:type="character" w:styleId="CommentReference">
    <w:name w:val="annotation reference"/>
    <w:basedOn w:val="DefaultParagraphFont"/>
    <w:uiPriority w:val="99"/>
    <w:rsid w:val="008F2CB2"/>
    <w:rPr>
      <w:rFonts w:cs="Times New Roman"/>
      <w:sz w:val="16"/>
      <w:szCs w:val="16"/>
    </w:rPr>
  </w:style>
  <w:style w:type="paragraph" w:styleId="CommentText">
    <w:name w:val="annotation text"/>
    <w:basedOn w:val="Normal"/>
    <w:link w:val="CommentTextChar"/>
    <w:uiPriority w:val="99"/>
    <w:rsid w:val="008F2CB2"/>
    <w:rPr>
      <w:sz w:val="20"/>
      <w:szCs w:val="20"/>
    </w:rPr>
  </w:style>
  <w:style w:type="character" w:customStyle="1" w:styleId="CommentTextChar">
    <w:name w:val="Comment Text Char"/>
    <w:basedOn w:val="DefaultParagraphFont"/>
    <w:link w:val="CommentText"/>
    <w:uiPriority w:val="99"/>
    <w:locked/>
    <w:rsid w:val="008F2CB2"/>
    <w:rPr>
      <w:rFonts w:cs="Times New Roman"/>
      <w:lang w:eastAsia="en-US"/>
    </w:rPr>
  </w:style>
  <w:style w:type="paragraph" w:styleId="CommentSubject">
    <w:name w:val="annotation subject"/>
    <w:basedOn w:val="CommentText"/>
    <w:next w:val="CommentText"/>
    <w:link w:val="CommentSubjectChar"/>
    <w:uiPriority w:val="99"/>
    <w:rsid w:val="008F2CB2"/>
    <w:rPr>
      <w:b/>
      <w:bCs/>
    </w:rPr>
  </w:style>
  <w:style w:type="character" w:customStyle="1" w:styleId="CommentSubjectChar">
    <w:name w:val="Comment Subject Char"/>
    <w:basedOn w:val="CommentTextChar"/>
    <w:link w:val="CommentSubject"/>
    <w:uiPriority w:val="99"/>
    <w:locked/>
    <w:rsid w:val="008F2CB2"/>
    <w:rPr>
      <w:b/>
      <w:bCs/>
    </w:rPr>
  </w:style>
  <w:style w:type="paragraph" w:styleId="Header">
    <w:name w:val="header"/>
    <w:basedOn w:val="Normal"/>
    <w:link w:val="HeaderChar"/>
    <w:uiPriority w:val="99"/>
    <w:rsid w:val="00987192"/>
    <w:pPr>
      <w:tabs>
        <w:tab w:val="center" w:pos="4513"/>
        <w:tab w:val="right" w:pos="9026"/>
      </w:tabs>
    </w:pPr>
  </w:style>
  <w:style w:type="character" w:customStyle="1" w:styleId="HeaderChar">
    <w:name w:val="Header Char"/>
    <w:basedOn w:val="DefaultParagraphFont"/>
    <w:link w:val="Header"/>
    <w:uiPriority w:val="99"/>
    <w:locked/>
    <w:rsid w:val="00987192"/>
    <w:rPr>
      <w:rFonts w:cs="Times New Roman"/>
      <w:sz w:val="24"/>
      <w:szCs w:val="24"/>
      <w:lang w:eastAsia="en-US"/>
    </w:rPr>
  </w:style>
  <w:style w:type="paragraph" w:styleId="Title">
    <w:name w:val="Title"/>
    <w:basedOn w:val="Normal"/>
    <w:link w:val="TitleChar"/>
    <w:uiPriority w:val="99"/>
    <w:qFormat/>
    <w:rsid w:val="00987192"/>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uiPriority w:val="99"/>
    <w:locked/>
    <w:rsid w:val="00987192"/>
    <w:rPr>
      <w:rFonts w:cs="Times New Roman"/>
      <w:b/>
      <w:sz w:val="22"/>
      <w:lang w:eastAsia="en-US"/>
    </w:rPr>
  </w:style>
  <w:style w:type="character" w:customStyle="1" w:styleId="CharChar4">
    <w:name w:val="Char Char4"/>
    <w:basedOn w:val="DefaultParagraphFont"/>
    <w:uiPriority w:val="99"/>
    <w:locked/>
    <w:rsid w:val="0068381A"/>
    <w:rPr>
      <w:rFonts w:cs="Times New Roman"/>
      <w:iCs/>
      <w:sz w:val="24"/>
      <w:szCs w:val="24"/>
      <w:lang w:eastAsia="en-US"/>
    </w:rPr>
  </w:style>
  <w:style w:type="character" w:customStyle="1" w:styleId="CharChar6">
    <w:name w:val="Char Char6"/>
    <w:basedOn w:val="DefaultParagraphFont"/>
    <w:uiPriority w:val="99"/>
    <w:locked/>
    <w:rsid w:val="006C0D89"/>
    <w:rPr>
      <w:rFonts w:cs="Times New Roman"/>
      <w:iCs/>
      <w:sz w:val="24"/>
      <w:szCs w:val="24"/>
      <w:lang w:eastAsia="en-US"/>
    </w:rPr>
  </w:style>
</w:styles>
</file>

<file path=word/webSettings.xml><?xml version="1.0" encoding="utf-8"?>
<w:webSettings xmlns:r="http://schemas.openxmlformats.org/officeDocument/2006/relationships" xmlns:w="http://schemas.openxmlformats.org/wordprocessingml/2006/main">
  <w:divs>
    <w:div w:id="487017043">
      <w:marLeft w:val="0"/>
      <w:marRight w:val="0"/>
      <w:marTop w:val="0"/>
      <w:marBottom w:val="0"/>
      <w:divBdr>
        <w:top w:val="none" w:sz="0" w:space="0" w:color="auto"/>
        <w:left w:val="none" w:sz="0" w:space="0" w:color="auto"/>
        <w:bottom w:val="none" w:sz="0" w:space="0" w:color="auto"/>
        <w:right w:val="none" w:sz="0" w:space="0" w:color="auto"/>
      </w:divBdr>
    </w:div>
    <w:div w:id="487017045">
      <w:marLeft w:val="0"/>
      <w:marRight w:val="0"/>
      <w:marTop w:val="0"/>
      <w:marBottom w:val="0"/>
      <w:divBdr>
        <w:top w:val="none" w:sz="0" w:space="0" w:color="auto"/>
        <w:left w:val="none" w:sz="0" w:space="0" w:color="auto"/>
        <w:bottom w:val="none" w:sz="0" w:space="0" w:color="auto"/>
        <w:right w:val="none" w:sz="0" w:space="0" w:color="auto"/>
      </w:divBdr>
    </w:div>
    <w:div w:id="487017046">
      <w:marLeft w:val="0"/>
      <w:marRight w:val="0"/>
      <w:marTop w:val="0"/>
      <w:marBottom w:val="0"/>
      <w:divBdr>
        <w:top w:val="none" w:sz="0" w:space="0" w:color="auto"/>
        <w:left w:val="none" w:sz="0" w:space="0" w:color="auto"/>
        <w:bottom w:val="none" w:sz="0" w:space="0" w:color="auto"/>
        <w:right w:val="none" w:sz="0" w:space="0" w:color="auto"/>
      </w:divBdr>
    </w:div>
    <w:div w:id="487017047">
      <w:marLeft w:val="0"/>
      <w:marRight w:val="0"/>
      <w:marTop w:val="0"/>
      <w:marBottom w:val="0"/>
      <w:divBdr>
        <w:top w:val="none" w:sz="0" w:space="0" w:color="auto"/>
        <w:left w:val="none" w:sz="0" w:space="0" w:color="auto"/>
        <w:bottom w:val="none" w:sz="0" w:space="0" w:color="auto"/>
        <w:right w:val="none" w:sz="0" w:space="0" w:color="auto"/>
      </w:divBdr>
    </w:div>
    <w:div w:id="487017048">
      <w:marLeft w:val="0"/>
      <w:marRight w:val="0"/>
      <w:marTop w:val="0"/>
      <w:marBottom w:val="0"/>
      <w:divBdr>
        <w:top w:val="none" w:sz="0" w:space="0" w:color="auto"/>
        <w:left w:val="none" w:sz="0" w:space="0" w:color="auto"/>
        <w:bottom w:val="none" w:sz="0" w:space="0" w:color="auto"/>
        <w:right w:val="none" w:sz="0" w:space="0" w:color="auto"/>
      </w:divBdr>
    </w:div>
    <w:div w:id="487017049">
      <w:marLeft w:val="0"/>
      <w:marRight w:val="0"/>
      <w:marTop w:val="0"/>
      <w:marBottom w:val="0"/>
      <w:divBdr>
        <w:top w:val="none" w:sz="0" w:space="0" w:color="auto"/>
        <w:left w:val="none" w:sz="0" w:space="0" w:color="auto"/>
        <w:bottom w:val="none" w:sz="0" w:space="0" w:color="auto"/>
        <w:right w:val="none" w:sz="0" w:space="0" w:color="auto"/>
      </w:divBdr>
    </w:div>
    <w:div w:id="487017053">
      <w:marLeft w:val="0"/>
      <w:marRight w:val="0"/>
      <w:marTop w:val="0"/>
      <w:marBottom w:val="0"/>
      <w:divBdr>
        <w:top w:val="none" w:sz="0" w:space="0" w:color="auto"/>
        <w:left w:val="none" w:sz="0" w:space="0" w:color="auto"/>
        <w:bottom w:val="none" w:sz="0" w:space="0" w:color="auto"/>
        <w:right w:val="none" w:sz="0" w:space="0" w:color="auto"/>
      </w:divBdr>
    </w:div>
    <w:div w:id="487017056">
      <w:marLeft w:val="0"/>
      <w:marRight w:val="0"/>
      <w:marTop w:val="0"/>
      <w:marBottom w:val="0"/>
      <w:divBdr>
        <w:top w:val="none" w:sz="0" w:space="0" w:color="auto"/>
        <w:left w:val="none" w:sz="0" w:space="0" w:color="auto"/>
        <w:bottom w:val="none" w:sz="0" w:space="0" w:color="auto"/>
        <w:right w:val="none" w:sz="0" w:space="0" w:color="auto"/>
      </w:divBdr>
    </w:div>
    <w:div w:id="487017059">
      <w:marLeft w:val="0"/>
      <w:marRight w:val="0"/>
      <w:marTop w:val="0"/>
      <w:marBottom w:val="0"/>
      <w:divBdr>
        <w:top w:val="none" w:sz="0" w:space="0" w:color="auto"/>
        <w:left w:val="none" w:sz="0" w:space="0" w:color="auto"/>
        <w:bottom w:val="none" w:sz="0" w:space="0" w:color="auto"/>
        <w:right w:val="none" w:sz="0" w:space="0" w:color="auto"/>
      </w:divBdr>
    </w:div>
    <w:div w:id="487017062">
      <w:marLeft w:val="0"/>
      <w:marRight w:val="0"/>
      <w:marTop w:val="0"/>
      <w:marBottom w:val="0"/>
      <w:divBdr>
        <w:top w:val="none" w:sz="0" w:space="0" w:color="auto"/>
        <w:left w:val="none" w:sz="0" w:space="0" w:color="auto"/>
        <w:bottom w:val="none" w:sz="0" w:space="0" w:color="auto"/>
        <w:right w:val="none" w:sz="0" w:space="0" w:color="auto"/>
      </w:divBdr>
      <w:divsChild>
        <w:div w:id="487017050">
          <w:marLeft w:val="0"/>
          <w:marRight w:val="0"/>
          <w:marTop w:val="0"/>
          <w:marBottom w:val="0"/>
          <w:divBdr>
            <w:top w:val="none" w:sz="0" w:space="0" w:color="auto"/>
            <w:left w:val="none" w:sz="0" w:space="0" w:color="auto"/>
            <w:bottom w:val="none" w:sz="0" w:space="0" w:color="auto"/>
            <w:right w:val="none" w:sz="0" w:space="0" w:color="auto"/>
          </w:divBdr>
          <w:divsChild>
            <w:div w:id="487017042">
              <w:marLeft w:val="0"/>
              <w:marRight w:val="0"/>
              <w:marTop w:val="0"/>
              <w:marBottom w:val="0"/>
              <w:divBdr>
                <w:top w:val="none" w:sz="0" w:space="0" w:color="auto"/>
                <w:left w:val="none" w:sz="0" w:space="0" w:color="auto"/>
                <w:bottom w:val="none" w:sz="0" w:space="0" w:color="auto"/>
                <w:right w:val="none" w:sz="0" w:space="0" w:color="auto"/>
              </w:divBdr>
            </w:div>
            <w:div w:id="487017044">
              <w:marLeft w:val="0"/>
              <w:marRight w:val="0"/>
              <w:marTop w:val="0"/>
              <w:marBottom w:val="0"/>
              <w:divBdr>
                <w:top w:val="none" w:sz="0" w:space="0" w:color="auto"/>
                <w:left w:val="none" w:sz="0" w:space="0" w:color="auto"/>
                <w:bottom w:val="none" w:sz="0" w:space="0" w:color="auto"/>
                <w:right w:val="none" w:sz="0" w:space="0" w:color="auto"/>
              </w:divBdr>
            </w:div>
            <w:div w:id="487017051">
              <w:marLeft w:val="0"/>
              <w:marRight w:val="0"/>
              <w:marTop w:val="0"/>
              <w:marBottom w:val="0"/>
              <w:divBdr>
                <w:top w:val="none" w:sz="0" w:space="0" w:color="auto"/>
                <w:left w:val="none" w:sz="0" w:space="0" w:color="auto"/>
                <w:bottom w:val="none" w:sz="0" w:space="0" w:color="auto"/>
                <w:right w:val="none" w:sz="0" w:space="0" w:color="auto"/>
              </w:divBdr>
            </w:div>
            <w:div w:id="487017052">
              <w:marLeft w:val="0"/>
              <w:marRight w:val="0"/>
              <w:marTop w:val="0"/>
              <w:marBottom w:val="0"/>
              <w:divBdr>
                <w:top w:val="none" w:sz="0" w:space="0" w:color="auto"/>
                <w:left w:val="none" w:sz="0" w:space="0" w:color="auto"/>
                <w:bottom w:val="none" w:sz="0" w:space="0" w:color="auto"/>
                <w:right w:val="none" w:sz="0" w:space="0" w:color="auto"/>
              </w:divBdr>
            </w:div>
            <w:div w:id="487017054">
              <w:marLeft w:val="0"/>
              <w:marRight w:val="0"/>
              <w:marTop w:val="0"/>
              <w:marBottom w:val="0"/>
              <w:divBdr>
                <w:top w:val="none" w:sz="0" w:space="0" w:color="auto"/>
                <w:left w:val="none" w:sz="0" w:space="0" w:color="auto"/>
                <w:bottom w:val="none" w:sz="0" w:space="0" w:color="auto"/>
                <w:right w:val="none" w:sz="0" w:space="0" w:color="auto"/>
              </w:divBdr>
            </w:div>
            <w:div w:id="487017055">
              <w:marLeft w:val="0"/>
              <w:marRight w:val="0"/>
              <w:marTop w:val="0"/>
              <w:marBottom w:val="0"/>
              <w:divBdr>
                <w:top w:val="none" w:sz="0" w:space="0" w:color="auto"/>
                <w:left w:val="none" w:sz="0" w:space="0" w:color="auto"/>
                <w:bottom w:val="none" w:sz="0" w:space="0" w:color="auto"/>
                <w:right w:val="none" w:sz="0" w:space="0" w:color="auto"/>
              </w:divBdr>
            </w:div>
            <w:div w:id="487017057">
              <w:marLeft w:val="0"/>
              <w:marRight w:val="0"/>
              <w:marTop w:val="0"/>
              <w:marBottom w:val="0"/>
              <w:divBdr>
                <w:top w:val="none" w:sz="0" w:space="0" w:color="auto"/>
                <w:left w:val="none" w:sz="0" w:space="0" w:color="auto"/>
                <w:bottom w:val="none" w:sz="0" w:space="0" w:color="auto"/>
                <w:right w:val="none" w:sz="0" w:space="0" w:color="auto"/>
              </w:divBdr>
            </w:div>
            <w:div w:id="487017058">
              <w:marLeft w:val="0"/>
              <w:marRight w:val="0"/>
              <w:marTop w:val="0"/>
              <w:marBottom w:val="0"/>
              <w:divBdr>
                <w:top w:val="none" w:sz="0" w:space="0" w:color="auto"/>
                <w:left w:val="none" w:sz="0" w:space="0" w:color="auto"/>
                <w:bottom w:val="none" w:sz="0" w:space="0" w:color="auto"/>
                <w:right w:val="none" w:sz="0" w:space="0" w:color="auto"/>
              </w:divBdr>
            </w:div>
            <w:div w:id="487017060">
              <w:marLeft w:val="0"/>
              <w:marRight w:val="0"/>
              <w:marTop w:val="0"/>
              <w:marBottom w:val="0"/>
              <w:divBdr>
                <w:top w:val="none" w:sz="0" w:space="0" w:color="auto"/>
                <w:left w:val="none" w:sz="0" w:space="0" w:color="auto"/>
                <w:bottom w:val="none" w:sz="0" w:space="0" w:color="auto"/>
                <w:right w:val="none" w:sz="0" w:space="0" w:color="auto"/>
              </w:divBdr>
            </w:div>
            <w:div w:id="48701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017063">
      <w:marLeft w:val="0"/>
      <w:marRight w:val="0"/>
      <w:marTop w:val="0"/>
      <w:marBottom w:val="0"/>
      <w:divBdr>
        <w:top w:val="none" w:sz="0" w:space="0" w:color="auto"/>
        <w:left w:val="none" w:sz="0" w:space="0" w:color="auto"/>
        <w:bottom w:val="none" w:sz="0" w:space="0" w:color="auto"/>
        <w:right w:val="none" w:sz="0" w:space="0" w:color="auto"/>
      </w:divBdr>
    </w:div>
    <w:div w:id="72575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11</Pages>
  <Words>3107</Words>
  <Characters>16480</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GJNH</Company>
  <LinksUpToDate>false</LinksUpToDate>
  <CharactersWithSpaces>19548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National Waiting Times Centre</dc:creator>
  <cp:lastModifiedBy>McGuinnessC1</cp:lastModifiedBy>
  <cp:revision>5</cp:revision>
  <cp:lastPrinted>2017-01-09T11:48:00Z</cp:lastPrinted>
  <dcterms:created xsi:type="dcterms:W3CDTF">2017-03-03T15:00:00Z</dcterms:created>
  <dcterms:modified xsi:type="dcterms:W3CDTF">2017-03-23T14:34:00Z</dcterms:modified>
</cp:coreProperties>
</file>